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877" w:rsidRDefault="00944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</w:rPr>
        <w:t>ANEXO N°1</w:t>
      </w:r>
    </w:p>
    <w:p w:rsidR="004D6877" w:rsidRDefault="004D6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4D6877" w:rsidRDefault="00944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Leyes publicadas en materia de discapacidad</w:t>
      </w:r>
    </w:p>
    <w:p w:rsidR="004D6877" w:rsidRDefault="00944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Periodo 2016-2022</w:t>
      </w:r>
    </w:p>
    <w:p w:rsidR="004D6877" w:rsidRDefault="004D6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</w:rPr>
      </w:pPr>
    </w:p>
    <w:p w:rsidR="004D6877" w:rsidRDefault="00944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Desde 2016 a la fecha, se han publicado las siguientes leyes, en cuyo proceso de elaboración y discusión ha intervenido activamente SENADIS:</w:t>
      </w:r>
    </w:p>
    <w:p w:rsidR="004D6877" w:rsidRDefault="004D6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tbl>
      <w:tblPr>
        <w:tblStyle w:val="a"/>
        <w:tblW w:w="8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6690"/>
      </w:tblGrid>
      <w:tr w:rsidR="004D6877">
        <w:trPr>
          <w:trHeight w:val="615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20.927</w:t>
              </w:r>
            </w:hyperlink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establece normas para el acceso de la población con discapacidad auditiva a la información proporcionada por la ONEMI.</w:t>
            </w:r>
          </w:p>
        </w:tc>
      </w:tr>
      <w:tr w:rsidR="004D6877">
        <w:trPr>
          <w:trHeight w:val="34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20.940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moderniza el sistema de relaciones laborales.</w:t>
            </w:r>
          </w:p>
        </w:tc>
      </w:tr>
      <w:tr w:rsidR="004D6877">
        <w:trPr>
          <w:trHeight w:val="61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20.957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modifica el Código Orgánico de Tribunales para permitir que personas en situación de discapacidad puedan ser nombradas en cargos de juez o notario.</w:t>
            </w:r>
          </w:p>
        </w:tc>
      </w:tr>
      <w:tr w:rsidR="004D6877">
        <w:trPr>
          <w:trHeight w:val="34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9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20.968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tipifica delitos de tortura y de tratos crueles inhumanos y degradantes.</w:t>
            </w:r>
          </w:p>
        </w:tc>
      </w:tr>
      <w:tr w:rsidR="004D6877">
        <w:trPr>
          <w:trHeight w:val="34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20.978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reconoce el deporte adaptado y paralímpico.</w:t>
            </w:r>
          </w:p>
        </w:tc>
      </w:tr>
      <w:tr w:rsidR="004D6877">
        <w:trPr>
          <w:trHeight w:val="61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21.013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modifica el Código Penal con el objeto de tipificar el delito de maltrato de menores y otras personas vulnerables.</w:t>
            </w:r>
          </w:p>
        </w:tc>
      </w:tr>
      <w:tr w:rsidR="004D6877">
        <w:trPr>
          <w:trHeight w:val="34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21.015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incentiva la inclusión de personas con discapacidad al mundo laboral.</w:t>
            </w:r>
          </w:p>
        </w:tc>
      </w:tr>
      <w:tr w:rsidR="004D6877">
        <w:trPr>
          <w:trHeight w:val="88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13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21.021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proporciona reparación y asistencia en rehabilitación a las víctimas de explosión de minas u otros artefactos explosivos militares abandonados o sin estallar.</w:t>
            </w:r>
          </w:p>
        </w:tc>
      </w:tr>
      <w:tr w:rsidR="004D6877">
        <w:trPr>
          <w:trHeight w:val="88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</w:t>
              </w:r>
              <w:r>
                <w:rPr>
                  <w:rFonts w:ascii="Verdana" w:eastAsia="Verdana" w:hAnsi="Verdana" w:cs="Verdana"/>
                  <w:color w:val="1155CC"/>
                  <w:u w:val="single"/>
                </w:rPr>
                <w:t>ey N° 21.089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modifica la Ley N° 20.422 en el sentido de establecer la obligatoriedad de juegos infantiles no mecánicos en espacios públicos y privados para niños y niñas en situación de discapacidad.</w:t>
            </w:r>
          </w:p>
        </w:tc>
      </w:tr>
      <w:tr w:rsidR="004D6877">
        <w:trPr>
          <w:trHeight w:val="34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15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21.09</w:t>
              </w:r>
              <w:r>
                <w:rPr>
                  <w:rFonts w:ascii="Verdana" w:eastAsia="Verdana" w:hAnsi="Verdana" w:cs="Verdana"/>
                  <w:color w:val="1155CC"/>
                  <w:u w:val="single"/>
                </w:rPr>
                <w:t>1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sobre Educación Superior.</w:t>
            </w:r>
          </w:p>
        </w:tc>
      </w:tr>
      <w:tr w:rsidR="004D6877">
        <w:trPr>
          <w:trHeight w:val="61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16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21.160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declara imprescriptibles los delitos sexuales cometidos contra menores de edad</w:t>
            </w:r>
          </w:p>
        </w:tc>
      </w:tr>
      <w:tr w:rsidR="004D6877">
        <w:trPr>
          <w:trHeight w:val="88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17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21.164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modifica la Ley General de Educación en el sentido de prohibir que se condicione la permanencia de estudiantes al consumo de medicamentos para tratar trastornos de conducta.</w:t>
            </w:r>
          </w:p>
        </w:tc>
      </w:tr>
      <w:tr w:rsidR="004D6877">
        <w:trPr>
          <w:trHeight w:val="61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18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21.168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 xml:space="preserve">que modifica la Ley N° </w:t>
            </w:r>
            <w:r>
              <w:rPr>
                <w:rFonts w:ascii="Verdana" w:eastAsia="Verdana" w:hAnsi="Verdana" w:cs="Verdana"/>
              </w:rPr>
              <w:t>20.584 a fin de crear el derecho a la atención preferente [en salud].</w:t>
            </w:r>
          </w:p>
        </w:tc>
      </w:tr>
      <w:tr w:rsidR="004D6877">
        <w:trPr>
          <w:trHeight w:val="34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19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21.190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mejora y establece nuevos beneficios en el sistema de pensiones solidarias</w:t>
            </w:r>
          </w:p>
        </w:tc>
      </w:tr>
      <w:tr w:rsidR="004D6877">
        <w:trPr>
          <w:trHeight w:val="88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20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21.201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 xml:space="preserve">que modifica la Ley N° 18.290 de Tránsito en lo tocante a la infracción consistente en estacionar en un espacio destinado a vehículos para personas con discapacidad sin derecho </w:t>
            </w:r>
            <w:r>
              <w:rPr>
                <w:rFonts w:ascii="Verdana" w:eastAsia="Verdana" w:hAnsi="Verdana" w:cs="Verdana"/>
              </w:rPr>
              <w:t>a ello.</w:t>
            </w:r>
          </w:p>
        </w:tc>
      </w:tr>
      <w:tr w:rsidR="004D6877">
        <w:trPr>
          <w:trHeight w:val="88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21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21.205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modifica la Ley N° 19.928 sobre fomento de la música chilena para establecer los requisitos que deben cumplir los conciertos y eventos musicales que se presenten en Chile.</w:t>
            </w:r>
          </w:p>
        </w:tc>
      </w:tr>
      <w:tr w:rsidR="004D6877">
        <w:trPr>
          <w:trHeight w:val="34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22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21.210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moderniza la legislaci</w:t>
            </w:r>
            <w:r>
              <w:rPr>
                <w:rFonts w:ascii="Verdana" w:eastAsia="Verdana" w:hAnsi="Verdana" w:cs="Verdana"/>
              </w:rPr>
              <w:t>ón tributaria.</w:t>
            </w:r>
          </w:p>
        </w:tc>
      </w:tr>
      <w:tr w:rsidR="004D6877">
        <w:trPr>
          <w:trHeight w:val="61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23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21.212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modifica el Código Penal en materia de tipificación del femicidio y de otros delitos contra las mujeres.</w:t>
            </w:r>
          </w:p>
        </w:tc>
      </w:tr>
      <w:tr w:rsidR="004D6877">
        <w:trPr>
          <w:trHeight w:val="34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24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21.230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concede un ingreso familiar de emergencia.</w:t>
            </w:r>
          </w:p>
        </w:tc>
      </w:tr>
      <w:tr w:rsidR="004D6877">
        <w:trPr>
          <w:trHeight w:val="61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25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21.243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modifica la Ley N° 21.230 para extender y aumentar el ingreso familiar de emergencia.</w:t>
            </w:r>
          </w:p>
        </w:tc>
      </w:tr>
      <w:tr w:rsidR="004D6877">
        <w:trPr>
          <w:trHeight w:val="88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26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21.275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modifica el Código del Trabajo para exigir de las empresas pertinentes la adopción de medidas que faciliten la inclusión laboral de los trabajadores con discapacidad.</w:t>
            </w:r>
          </w:p>
        </w:tc>
      </w:tr>
      <w:tr w:rsidR="004D6877">
        <w:trPr>
          <w:trHeight w:val="115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27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21.298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modifica la Carta Fundamental para reservar escaños a representantes de los pueblos indígenas en la Convención Constitucional y para resguardar y promover la participación de las personas con discapacidad en la elección de convencionales constituyentes</w:t>
            </w:r>
            <w:r>
              <w:rPr>
                <w:rFonts w:ascii="Verdana" w:eastAsia="Verdana" w:hAnsi="Verdana" w:cs="Verdana"/>
              </w:rPr>
              <w:t>.</w:t>
            </w:r>
          </w:p>
        </w:tc>
      </w:tr>
      <w:tr w:rsidR="004D6877">
        <w:trPr>
          <w:trHeight w:val="61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28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21.302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crea el Servicio Nacional de protección especializada a la niñez y adolescencia y modifica normas legales que indica.</w:t>
            </w:r>
          </w:p>
        </w:tc>
      </w:tr>
      <w:tr w:rsidR="004D6877">
        <w:trPr>
          <w:trHeight w:val="88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29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21.303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modifica la Ley N° 20.422 que establece normas sobre igualdad de oportunidades e inclusión social de personas con discapacidad para promover el uso de la Lengua de Señas.</w:t>
            </w:r>
          </w:p>
        </w:tc>
      </w:tr>
      <w:tr w:rsidR="004D6877">
        <w:trPr>
          <w:trHeight w:val="61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30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21.309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establece beneficio que indica para los afiliados y pensionados calificados como enfermos terminales.</w:t>
            </w:r>
          </w:p>
        </w:tc>
      </w:tr>
      <w:tr w:rsidR="004D6877">
        <w:trPr>
          <w:trHeight w:val="142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31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21.319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modifica el Decreto con Fuerza de Ley N° 2 de 2017 del Ministerio Secretaría General de la Presidencia que fija el texto refundido coordinado y sistematizado de la Ley N° 18.700 Orgánica Constitucional sobre votaciones populares y escrutinios para excu</w:t>
            </w:r>
            <w:r>
              <w:rPr>
                <w:rFonts w:ascii="Verdana" w:eastAsia="Verdana" w:hAnsi="Verdana" w:cs="Verdana"/>
              </w:rPr>
              <w:t>sar a las personas que indica de las labores de vocal de mesa.</w:t>
            </w:r>
          </w:p>
        </w:tc>
      </w:tr>
      <w:tr w:rsidR="004D6877">
        <w:trPr>
          <w:trHeight w:val="61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32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21.331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del reconocimiento y protección de los derechos de las personas en la atención de salud mental.</w:t>
            </w:r>
          </w:p>
        </w:tc>
      </w:tr>
      <w:tr w:rsidR="004D6877">
        <w:trPr>
          <w:trHeight w:val="61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33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21.372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modifica la Ley N° 20.584 estableciendo medidas especiales en relación al acompañamiento de los pacientes que se indican.</w:t>
            </w:r>
          </w:p>
        </w:tc>
      </w:tr>
      <w:tr w:rsidR="004D6877">
        <w:trPr>
          <w:trHeight w:val="61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34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21.375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consagra los cuidados paliativos y los derechos de las pe</w:t>
            </w:r>
            <w:r>
              <w:rPr>
                <w:rFonts w:ascii="Verdana" w:eastAsia="Verdana" w:hAnsi="Verdana" w:cs="Verdana"/>
              </w:rPr>
              <w:t>rsonas que padecen enfermedades terminales o graves.</w:t>
            </w:r>
          </w:p>
        </w:tc>
      </w:tr>
      <w:tr w:rsidR="004D6877">
        <w:trPr>
          <w:trHeight w:val="61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35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21.380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reconoce a los cuidadores o cuidadoras el derecho a la atención preferente en el ámbito de la salud.</w:t>
            </w:r>
          </w:p>
        </w:tc>
      </w:tr>
      <w:tr w:rsidR="004D6877">
        <w:trPr>
          <w:trHeight w:val="88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36">
              <w:r>
                <w:rPr>
                  <w:rFonts w:ascii="Verdana" w:eastAsia="Verdana" w:hAnsi="Verdana" w:cs="Verdana"/>
                  <w:color w:val="1155CC"/>
                  <w:u w:val="single"/>
                </w:rPr>
                <w:t xml:space="preserve">Ley </w:t>
              </w:r>
              <w:r>
                <w:rPr>
                  <w:rFonts w:ascii="Verdana" w:eastAsia="Verdana" w:hAnsi="Verdana" w:cs="Verdana"/>
                  <w:color w:val="1155CC"/>
                  <w:u w:val="single"/>
                </w:rPr>
                <w:t>N° 21.381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modifica la Ley N° 19.712 del deporte para dar prioridad en la asignación de los recursos del Fondo Nacional para el Fomento del Deporte a los sectores más vulnerables de la población.</w:t>
            </w:r>
          </w:p>
        </w:tc>
      </w:tr>
      <w:tr w:rsidR="004D6877">
        <w:trPr>
          <w:trHeight w:val="34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37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21.391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establece trabajo a distancia para cuidado de niños en caso de pandemia.</w:t>
            </w:r>
          </w:p>
        </w:tc>
      </w:tr>
      <w:tr w:rsidR="004D6877">
        <w:trPr>
          <w:trHeight w:val="61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38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21.398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establece medidas para incentivar la protección de los derechos de los consumidores.</w:t>
            </w:r>
          </w:p>
        </w:tc>
      </w:tr>
      <w:tr w:rsidR="004D6877">
        <w:trPr>
          <w:trHeight w:val="61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39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21.403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que reconoce la sordoceguera como discapacidad única y promueve la plena inclusión social de las personas sordociegas.</w:t>
            </w:r>
          </w:p>
        </w:tc>
      </w:tr>
      <w:tr w:rsidR="004D6877">
        <w:trPr>
          <w:trHeight w:val="34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40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21.419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crea la pensión garantizada univ</w:t>
            </w:r>
            <w:r>
              <w:rPr>
                <w:rFonts w:ascii="Verdana" w:eastAsia="Verdana" w:hAnsi="Verdana" w:cs="Verdana"/>
              </w:rPr>
              <w:t>ersal y modifica los cuerpos legales que indica.</w:t>
            </w:r>
          </w:p>
        </w:tc>
      </w:tr>
      <w:tr w:rsidR="004D6877">
        <w:trPr>
          <w:trHeight w:val="345"/>
        </w:trPr>
        <w:tc>
          <w:tcPr>
            <w:tcW w:w="1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hyperlink r:id="rId41">
              <w:r>
                <w:rPr>
                  <w:rFonts w:ascii="Verdana" w:eastAsia="Verdana" w:hAnsi="Verdana" w:cs="Verdana"/>
                  <w:color w:val="1155CC"/>
                  <w:u w:val="single"/>
                </w:rPr>
                <w:t>Ley N° 21.430</w:t>
              </w:r>
            </w:hyperlink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D6877" w:rsidRDefault="00944FE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sobre garantías y protección integral de los derechos de la niñez y adolescencia</w:t>
            </w:r>
          </w:p>
        </w:tc>
      </w:tr>
    </w:tbl>
    <w:p w:rsidR="004D6877" w:rsidRDefault="004D6877">
      <w:pPr>
        <w:rPr>
          <w:rFonts w:ascii="Verdana" w:eastAsia="Verdana" w:hAnsi="Verdana" w:cs="Verdana"/>
        </w:rPr>
      </w:pPr>
    </w:p>
    <w:sectPr w:rsidR="004D6877">
      <w:footerReference w:type="default" r:id="rId4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E8" w:rsidRDefault="00944FE8">
      <w:pPr>
        <w:spacing w:after="0" w:line="240" w:lineRule="auto"/>
      </w:pPr>
      <w:r>
        <w:separator/>
      </w:r>
    </w:p>
  </w:endnote>
  <w:endnote w:type="continuationSeparator" w:id="0">
    <w:p w:rsidR="00944FE8" w:rsidRDefault="0094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77" w:rsidRDefault="00944F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8717FD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717FD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4D6877" w:rsidRDefault="004D68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E8" w:rsidRDefault="00944FE8">
      <w:pPr>
        <w:spacing w:after="0" w:line="240" w:lineRule="auto"/>
      </w:pPr>
      <w:r>
        <w:separator/>
      </w:r>
    </w:p>
  </w:footnote>
  <w:footnote w:type="continuationSeparator" w:id="0">
    <w:p w:rsidR="00944FE8" w:rsidRDefault="00944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77"/>
    <w:rsid w:val="004D6877"/>
    <w:rsid w:val="008717FD"/>
    <w:rsid w:val="0094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2428C-0924-4C5F-9638-CF39BD24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cn.cl/2o801" TargetMode="External"/><Relationship Id="rId18" Type="http://schemas.openxmlformats.org/officeDocument/2006/relationships/hyperlink" Target="https://bcn.cl/2mpd0" TargetMode="External"/><Relationship Id="rId26" Type="http://schemas.openxmlformats.org/officeDocument/2006/relationships/hyperlink" Target="http://bcn.cl/2lszj" TargetMode="External"/><Relationship Id="rId39" Type="http://schemas.openxmlformats.org/officeDocument/2006/relationships/hyperlink" Target="http://bcn.cl/2v1qo" TargetMode="External"/><Relationship Id="rId21" Type="http://schemas.openxmlformats.org/officeDocument/2006/relationships/hyperlink" Target="https://www.leychile.cl/Navegar?idNorma=1142420" TargetMode="External"/><Relationship Id="rId34" Type="http://schemas.openxmlformats.org/officeDocument/2006/relationships/hyperlink" Target="https://bcn.cl/304yj" TargetMode="External"/><Relationship Id="rId42" Type="http://schemas.openxmlformats.org/officeDocument/2006/relationships/footer" Target="footer1.xml"/><Relationship Id="rId7" Type="http://schemas.openxmlformats.org/officeDocument/2006/relationships/hyperlink" Target="https://bcn.cl/32r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cn.cl/2pe6i" TargetMode="External"/><Relationship Id="rId20" Type="http://schemas.openxmlformats.org/officeDocument/2006/relationships/hyperlink" Target="https://www.leychile.cl/Navegar?idNorma=1141904" TargetMode="External"/><Relationship Id="rId29" Type="http://schemas.openxmlformats.org/officeDocument/2006/relationships/hyperlink" Target="http://bcn.cl/2nbtt" TargetMode="External"/><Relationship Id="rId41" Type="http://schemas.openxmlformats.org/officeDocument/2006/relationships/hyperlink" Target="http://bcn.cl/2yieq" TargetMode="External"/><Relationship Id="rId1" Type="http://schemas.openxmlformats.org/officeDocument/2006/relationships/styles" Target="styles.xml"/><Relationship Id="rId6" Type="http://schemas.openxmlformats.org/officeDocument/2006/relationships/hyperlink" Target="http://bcn.cl/2kh0g" TargetMode="External"/><Relationship Id="rId11" Type="http://schemas.openxmlformats.org/officeDocument/2006/relationships/hyperlink" Target="http://bcn.cl/31wsm" TargetMode="External"/><Relationship Id="rId24" Type="http://schemas.openxmlformats.org/officeDocument/2006/relationships/hyperlink" Target="http://bcn.cl/2e2gy" TargetMode="External"/><Relationship Id="rId32" Type="http://schemas.openxmlformats.org/officeDocument/2006/relationships/hyperlink" Target="http://bcn.cl/2p8yr" TargetMode="External"/><Relationship Id="rId37" Type="http://schemas.openxmlformats.org/officeDocument/2006/relationships/hyperlink" Target="http://bcn.cl/2tsvg" TargetMode="External"/><Relationship Id="rId40" Type="http://schemas.openxmlformats.org/officeDocument/2006/relationships/hyperlink" Target="http://bcn.cl/2yg7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cn.cl/2fcks" TargetMode="External"/><Relationship Id="rId23" Type="http://schemas.openxmlformats.org/officeDocument/2006/relationships/hyperlink" Target="http://bcn.cl/2d9cm" TargetMode="External"/><Relationship Id="rId28" Type="http://schemas.openxmlformats.org/officeDocument/2006/relationships/hyperlink" Target="http://bcn.cl/2n4tf" TargetMode="External"/><Relationship Id="rId36" Type="http://schemas.openxmlformats.org/officeDocument/2006/relationships/hyperlink" Target="http://bcn.cl/2t515" TargetMode="External"/><Relationship Id="rId10" Type="http://schemas.openxmlformats.org/officeDocument/2006/relationships/hyperlink" Target="https://bcn.cl/2lqs6" TargetMode="External"/><Relationship Id="rId19" Type="http://schemas.openxmlformats.org/officeDocument/2006/relationships/hyperlink" Target="http://bcn.cl/2f9qy" TargetMode="External"/><Relationship Id="rId31" Type="http://schemas.openxmlformats.org/officeDocument/2006/relationships/hyperlink" Target="http://bcn.cl/2obbd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cn.cl/2fbiv" TargetMode="External"/><Relationship Id="rId14" Type="http://schemas.openxmlformats.org/officeDocument/2006/relationships/hyperlink" Target="http://bcn.cl/2q12s" TargetMode="External"/><Relationship Id="rId22" Type="http://schemas.openxmlformats.org/officeDocument/2006/relationships/hyperlink" Target="http://bcn.cl/2d66w" TargetMode="External"/><Relationship Id="rId27" Type="http://schemas.openxmlformats.org/officeDocument/2006/relationships/hyperlink" Target="http://bcn.cl/2n0tc" TargetMode="External"/><Relationship Id="rId30" Type="http://schemas.openxmlformats.org/officeDocument/2006/relationships/hyperlink" Target="http://bcn.cl/2nhfk" TargetMode="External"/><Relationship Id="rId35" Type="http://schemas.openxmlformats.org/officeDocument/2006/relationships/hyperlink" Target="http://bcn.cl/2sgxv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bcn.cl/2o7z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cn.cl/2f9hw" TargetMode="External"/><Relationship Id="rId17" Type="http://schemas.openxmlformats.org/officeDocument/2006/relationships/hyperlink" Target="https://bcn.cl/2lr42" TargetMode="External"/><Relationship Id="rId25" Type="http://schemas.openxmlformats.org/officeDocument/2006/relationships/hyperlink" Target="http://bcn.cl/2k3nl" TargetMode="External"/><Relationship Id="rId33" Type="http://schemas.openxmlformats.org/officeDocument/2006/relationships/hyperlink" Target="http://bcn.cl/2sakv" TargetMode="External"/><Relationship Id="rId38" Type="http://schemas.openxmlformats.org/officeDocument/2006/relationships/hyperlink" Target="https://bcn.cl/2upv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Ojeda Baeza</dc:creator>
  <cp:lastModifiedBy>Isabel Ojeda Baeza</cp:lastModifiedBy>
  <cp:revision>2</cp:revision>
  <dcterms:created xsi:type="dcterms:W3CDTF">2023-01-11T20:15:00Z</dcterms:created>
  <dcterms:modified xsi:type="dcterms:W3CDTF">2023-01-11T20:15:00Z</dcterms:modified>
</cp:coreProperties>
</file>