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80CB4" w:rsidP="00DC3C57">
      <w:pPr>
        <w:jc w:val="center"/>
        <w:rPr>
          <w:rFonts w:ascii="Calibri" w:hAnsi="Calibri"/>
          <w:b/>
          <w:sz w:val="28"/>
        </w:rPr>
      </w:pPr>
      <w:r w:rsidRPr="00280CB4">
        <w:rPr>
          <w:rFonts w:ascii="Calibri" w:hAnsi="Calibri"/>
          <w:b/>
          <w:sz w:val="28"/>
        </w:rPr>
        <w:t>PROFESIONAL SECCIÓN DE ADQUISICIONES Y CONTRATACIONES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2523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9.846.749-1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11.850.504-2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11.948.111-2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13.857.660-4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AB67BF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16.392.182-0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E2523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-342900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AB67BF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Andrea Medina</cp:lastModifiedBy>
  <cp:revision>4</cp:revision>
  <dcterms:created xsi:type="dcterms:W3CDTF">2019-09-27T19:42:00Z</dcterms:created>
  <dcterms:modified xsi:type="dcterms:W3CDTF">2019-09-27T19:57:00Z</dcterms:modified>
</cp:coreProperties>
</file>