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1B0" w:rsidRDefault="00EA2FC6">
      <w:pPr>
        <w:keepNext/>
        <w:keepLines/>
        <w:spacing w:before="200"/>
        <w:jc w:val="center"/>
        <w:rPr>
          <w:rFonts w:ascii="Arial" w:eastAsia="Arial" w:hAnsi="Arial" w:cs="Arial"/>
          <w:b/>
          <w:sz w:val="24"/>
          <w:szCs w:val="24"/>
          <w:highlight w:val="white"/>
          <w:u w:val="single"/>
        </w:rPr>
      </w:pPr>
      <w:bookmarkStart w:id="0" w:name="_GoBack"/>
      <w:bookmarkEnd w:id="0"/>
      <w:r>
        <w:rPr>
          <w:rFonts w:ascii="Arial" w:eastAsia="Arial" w:hAnsi="Arial" w:cs="Arial"/>
          <w:b/>
          <w:sz w:val="24"/>
          <w:szCs w:val="24"/>
          <w:highlight w:val="white"/>
          <w:u w:val="single"/>
        </w:rPr>
        <w:t>Preguntas frecuentes sobre la etapa de admisibilidad</w:t>
      </w:r>
    </w:p>
    <w:p w:rsidR="006121B0" w:rsidRDefault="006121B0">
      <w:pPr>
        <w:keepNext/>
        <w:keepLines/>
        <w:spacing w:before="200"/>
        <w:rPr>
          <w:rFonts w:ascii="Arial" w:eastAsia="Arial" w:hAnsi="Arial" w:cs="Arial"/>
          <w:b/>
          <w:sz w:val="24"/>
          <w:szCs w:val="24"/>
          <w:highlight w:val="white"/>
        </w:rPr>
      </w:pPr>
    </w:p>
    <w:p w:rsidR="006121B0" w:rsidRDefault="00EA2FC6">
      <w:pPr>
        <w:keepNext/>
        <w:keepLines/>
        <w:numPr>
          <w:ilvl w:val="0"/>
          <w:numId w:val="2"/>
        </w:numPr>
        <w:jc w:val="both"/>
        <w:rPr>
          <w:sz w:val="24"/>
          <w:szCs w:val="24"/>
          <w:highlight w:val="white"/>
        </w:rPr>
      </w:pPr>
      <w:r>
        <w:rPr>
          <w:rFonts w:ascii="Arial" w:eastAsia="Arial" w:hAnsi="Arial" w:cs="Arial"/>
          <w:b/>
          <w:sz w:val="24"/>
          <w:szCs w:val="24"/>
          <w:highlight w:val="white"/>
        </w:rPr>
        <w:t>¿Qué es la admisibilidad?</w:t>
      </w:r>
    </w:p>
    <w:p w:rsidR="006121B0" w:rsidRDefault="00EA2FC6">
      <w:pPr>
        <w:keepNext/>
        <w:keepLines/>
        <w:spacing w:before="200"/>
        <w:jc w:val="both"/>
        <w:rPr>
          <w:rFonts w:ascii="Arial" w:eastAsia="Arial" w:hAnsi="Arial" w:cs="Arial"/>
          <w:sz w:val="24"/>
          <w:szCs w:val="24"/>
        </w:rPr>
      </w:pPr>
      <w:r>
        <w:rPr>
          <w:rFonts w:ascii="Arial" w:eastAsia="Arial" w:hAnsi="Arial" w:cs="Arial"/>
          <w:sz w:val="24"/>
          <w:szCs w:val="24"/>
        </w:rPr>
        <w:t>Corresponde a la selección inicial de los casos postulados dentro de cada región, en relación al cumplimiento de los “Criterios mínimos de aceptación” y el presupuesto disponible para la región a la cual pertenece.</w:t>
      </w:r>
    </w:p>
    <w:p w:rsidR="006121B0" w:rsidRDefault="00EA2FC6">
      <w:pPr>
        <w:keepNext/>
        <w:keepLines/>
        <w:numPr>
          <w:ilvl w:val="0"/>
          <w:numId w:val="2"/>
        </w:numPr>
        <w:spacing w:before="200"/>
        <w:jc w:val="both"/>
        <w:rPr>
          <w:sz w:val="24"/>
          <w:szCs w:val="24"/>
          <w:highlight w:val="white"/>
        </w:rPr>
      </w:pPr>
      <w:r>
        <w:rPr>
          <w:rFonts w:ascii="Arial" w:eastAsia="Arial" w:hAnsi="Arial" w:cs="Arial"/>
          <w:b/>
          <w:sz w:val="24"/>
          <w:szCs w:val="24"/>
          <w:highlight w:val="white"/>
        </w:rPr>
        <w:t>¿Cuándo se realiza la admisibilidad?</w:t>
      </w:r>
    </w:p>
    <w:p w:rsidR="006121B0" w:rsidRDefault="00EA2FC6">
      <w:pPr>
        <w:keepNext/>
        <w:keepLines/>
        <w:spacing w:before="200"/>
        <w:jc w:val="both"/>
        <w:rPr>
          <w:rFonts w:ascii="Arial" w:eastAsia="Arial" w:hAnsi="Arial" w:cs="Arial"/>
          <w:sz w:val="24"/>
          <w:szCs w:val="24"/>
          <w:highlight w:val="white"/>
        </w:rPr>
      </w:pPr>
      <w:r>
        <w:rPr>
          <w:rFonts w:ascii="Arial" w:eastAsia="Arial" w:hAnsi="Arial" w:cs="Arial"/>
          <w:sz w:val="24"/>
          <w:szCs w:val="24"/>
          <w:highlight w:val="white"/>
        </w:rPr>
        <w:t>El proceso de admisibilidad se inicia luego de finalizar el periodo de postulación al financiamiento de Ayudas Técnicas.</w:t>
      </w:r>
    </w:p>
    <w:p w:rsidR="006121B0" w:rsidRDefault="00EA2FC6">
      <w:pPr>
        <w:keepNext/>
        <w:keepLines/>
        <w:numPr>
          <w:ilvl w:val="0"/>
          <w:numId w:val="2"/>
        </w:numPr>
        <w:spacing w:before="200"/>
        <w:jc w:val="both"/>
        <w:rPr>
          <w:sz w:val="24"/>
          <w:szCs w:val="24"/>
          <w:highlight w:val="white"/>
        </w:rPr>
      </w:pPr>
      <w:r>
        <w:rPr>
          <w:rFonts w:ascii="Arial" w:eastAsia="Arial" w:hAnsi="Arial" w:cs="Arial"/>
          <w:b/>
          <w:sz w:val="24"/>
          <w:szCs w:val="24"/>
          <w:highlight w:val="white"/>
        </w:rPr>
        <w:t>¿Debo realizar alguna acción durante la etapa de admisibilidad?</w:t>
      </w:r>
    </w:p>
    <w:p w:rsidR="006121B0" w:rsidRDefault="00EA2FC6">
      <w:pPr>
        <w:keepNext/>
        <w:keepLines/>
        <w:spacing w:before="200"/>
        <w:jc w:val="both"/>
        <w:rPr>
          <w:rFonts w:ascii="Arial" w:eastAsia="Arial" w:hAnsi="Arial" w:cs="Arial"/>
          <w:sz w:val="24"/>
          <w:szCs w:val="24"/>
          <w:highlight w:val="white"/>
        </w:rPr>
      </w:pPr>
      <w:r>
        <w:rPr>
          <w:rFonts w:ascii="Arial" w:eastAsia="Arial" w:hAnsi="Arial" w:cs="Arial"/>
          <w:sz w:val="24"/>
          <w:szCs w:val="24"/>
          <w:highlight w:val="white"/>
        </w:rPr>
        <w:t>No, durante esta etapa solo deberá conocer el resultado de su postulación a través de la Plataforma de Ayudas Técnicas, o bien, mediante la información entregada a los correos electrónicos ingresados en su postulación.</w:t>
      </w:r>
    </w:p>
    <w:p w:rsidR="006121B0" w:rsidRDefault="00EA2FC6">
      <w:pPr>
        <w:keepNext/>
        <w:keepLines/>
        <w:numPr>
          <w:ilvl w:val="0"/>
          <w:numId w:val="2"/>
        </w:numPr>
        <w:spacing w:before="200"/>
        <w:jc w:val="both"/>
        <w:rPr>
          <w:sz w:val="24"/>
          <w:szCs w:val="24"/>
          <w:highlight w:val="white"/>
        </w:rPr>
      </w:pPr>
      <w:r>
        <w:rPr>
          <w:rFonts w:ascii="Arial" w:eastAsia="Arial" w:hAnsi="Arial" w:cs="Arial"/>
          <w:b/>
          <w:sz w:val="24"/>
          <w:szCs w:val="24"/>
          <w:highlight w:val="white"/>
        </w:rPr>
        <w:t>¿Cómo puedo conocer el resultado de esta etapa?</w:t>
      </w:r>
    </w:p>
    <w:p w:rsidR="006121B0" w:rsidRDefault="00EA2FC6">
      <w:pPr>
        <w:keepNext/>
        <w:keepLines/>
        <w:spacing w:before="200"/>
        <w:jc w:val="both"/>
        <w:rPr>
          <w:rFonts w:ascii="Arial" w:eastAsia="Arial" w:hAnsi="Arial" w:cs="Arial"/>
          <w:sz w:val="24"/>
          <w:szCs w:val="24"/>
          <w:highlight w:val="white"/>
        </w:rPr>
      </w:pPr>
      <w:r>
        <w:rPr>
          <w:rFonts w:ascii="Arial" w:eastAsia="Arial" w:hAnsi="Arial" w:cs="Arial"/>
          <w:sz w:val="24"/>
          <w:szCs w:val="24"/>
          <w:highlight w:val="white"/>
        </w:rPr>
        <w:t>Los resultados de la admisibilidad serán notificados al postulan</w:t>
      </w:r>
      <w:r w:rsidR="0014489A">
        <w:rPr>
          <w:rFonts w:ascii="Arial" w:eastAsia="Arial" w:hAnsi="Arial" w:cs="Arial"/>
          <w:sz w:val="24"/>
          <w:szCs w:val="24"/>
          <w:highlight w:val="white"/>
        </w:rPr>
        <w:t xml:space="preserve">te y al Gestor de </w:t>
      </w:r>
      <w:r>
        <w:rPr>
          <w:rFonts w:ascii="Arial" w:eastAsia="Arial" w:hAnsi="Arial" w:cs="Arial"/>
          <w:sz w:val="24"/>
          <w:szCs w:val="24"/>
          <w:highlight w:val="white"/>
        </w:rPr>
        <w:t>postulación de Ayudas Técnicas en el caso que corresponda, por medio de la plataforma de postulación y a través de los correos electrónicos ingresados al momento de postular.</w:t>
      </w:r>
    </w:p>
    <w:p w:rsidR="006121B0" w:rsidRDefault="00EA2FC6">
      <w:pPr>
        <w:keepNext/>
        <w:keepLines/>
        <w:numPr>
          <w:ilvl w:val="0"/>
          <w:numId w:val="2"/>
        </w:numPr>
        <w:spacing w:before="200"/>
        <w:jc w:val="both"/>
        <w:rPr>
          <w:sz w:val="24"/>
          <w:szCs w:val="24"/>
          <w:highlight w:val="white"/>
        </w:rPr>
      </w:pPr>
      <w:r>
        <w:rPr>
          <w:rFonts w:ascii="Arial" w:eastAsia="Arial" w:hAnsi="Arial" w:cs="Arial"/>
          <w:b/>
          <w:sz w:val="24"/>
          <w:szCs w:val="24"/>
          <w:highlight w:val="white"/>
        </w:rPr>
        <w:t>¿Cuáles son los posibles resultados de la admisibilidad?</w:t>
      </w:r>
    </w:p>
    <w:p w:rsidR="006121B0" w:rsidRDefault="00EA2FC6">
      <w:pPr>
        <w:keepNext/>
        <w:keepLines/>
        <w:spacing w:before="200"/>
        <w:jc w:val="both"/>
        <w:rPr>
          <w:rFonts w:ascii="Arial" w:eastAsia="Arial" w:hAnsi="Arial" w:cs="Arial"/>
          <w:sz w:val="24"/>
          <w:szCs w:val="24"/>
          <w:highlight w:val="white"/>
        </w:rPr>
      </w:pPr>
      <w:r>
        <w:rPr>
          <w:rFonts w:ascii="Arial" w:eastAsia="Arial" w:hAnsi="Arial" w:cs="Arial"/>
          <w:sz w:val="24"/>
          <w:szCs w:val="24"/>
          <w:highlight w:val="white"/>
        </w:rPr>
        <w:t>Una vez finalizada la admisibilidad, todas las postulaciones tendrán alguno de estos resultados, “inadmisible o “admisible”, con el siguiente detalle:</w:t>
      </w:r>
    </w:p>
    <w:p w:rsidR="006121B0" w:rsidRDefault="00EA2FC6">
      <w:pPr>
        <w:keepNext/>
        <w:keepLines/>
        <w:numPr>
          <w:ilvl w:val="0"/>
          <w:numId w:val="1"/>
        </w:numPr>
        <w:spacing w:before="200"/>
        <w:jc w:val="both"/>
        <w:rPr>
          <w:rFonts w:ascii="Arial" w:eastAsia="Arial" w:hAnsi="Arial" w:cs="Arial"/>
          <w:sz w:val="24"/>
          <w:szCs w:val="24"/>
          <w:highlight w:val="white"/>
        </w:rPr>
      </w:pPr>
      <w:proofErr w:type="spellStart"/>
      <w:r>
        <w:rPr>
          <w:rFonts w:ascii="Arial" w:eastAsia="Arial" w:hAnsi="Arial" w:cs="Arial"/>
          <w:sz w:val="24"/>
          <w:szCs w:val="24"/>
          <w:highlight w:val="white"/>
        </w:rPr>
        <w:t>Postulación</w:t>
      </w:r>
      <w:proofErr w:type="spellEnd"/>
      <w:r>
        <w:rPr>
          <w:rFonts w:ascii="Arial" w:eastAsia="Arial" w:hAnsi="Arial" w:cs="Arial"/>
          <w:sz w:val="24"/>
          <w:szCs w:val="24"/>
          <w:highlight w:val="white"/>
        </w:rPr>
        <w:t xml:space="preserve"> inadmisible por incumplimiento de criterios </w:t>
      </w:r>
      <w:proofErr w:type="spellStart"/>
      <w:r>
        <w:rPr>
          <w:rFonts w:ascii="Arial" w:eastAsia="Arial" w:hAnsi="Arial" w:cs="Arial"/>
          <w:sz w:val="24"/>
          <w:szCs w:val="24"/>
          <w:highlight w:val="white"/>
        </w:rPr>
        <w:t>mínimos</w:t>
      </w:r>
      <w:proofErr w:type="spellEnd"/>
      <w:r>
        <w:rPr>
          <w:rFonts w:ascii="Arial" w:eastAsia="Arial" w:hAnsi="Arial" w:cs="Arial"/>
          <w:sz w:val="24"/>
          <w:szCs w:val="24"/>
          <w:highlight w:val="white"/>
        </w:rPr>
        <w:t xml:space="preserve"> de </w:t>
      </w:r>
      <w:proofErr w:type="spellStart"/>
      <w:r>
        <w:rPr>
          <w:rFonts w:ascii="Arial" w:eastAsia="Arial" w:hAnsi="Arial" w:cs="Arial"/>
          <w:sz w:val="24"/>
          <w:szCs w:val="24"/>
          <w:highlight w:val="white"/>
        </w:rPr>
        <w:t>aceptación</w:t>
      </w:r>
      <w:proofErr w:type="spellEnd"/>
      <w:r>
        <w:rPr>
          <w:rFonts w:ascii="Arial" w:eastAsia="Arial" w:hAnsi="Arial" w:cs="Arial"/>
          <w:sz w:val="24"/>
          <w:szCs w:val="24"/>
          <w:highlight w:val="white"/>
        </w:rPr>
        <w:t>, donde se especificará el o los motivos.</w:t>
      </w:r>
    </w:p>
    <w:p w:rsidR="006121B0" w:rsidRDefault="00EA2FC6">
      <w:pPr>
        <w:keepNext/>
        <w:keepLines/>
        <w:numPr>
          <w:ilvl w:val="0"/>
          <w:numId w:val="1"/>
        </w:numPr>
        <w:jc w:val="both"/>
        <w:rPr>
          <w:rFonts w:ascii="Arial" w:eastAsia="Arial" w:hAnsi="Arial" w:cs="Arial"/>
          <w:sz w:val="24"/>
          <w:szCs w:val="24"/>
          <w:highlight w:val="white"/>
        </w:rPr>
      </w:pPr>
      <w:proofErr w:type="spellStart"/>
      <w:r>
        <w:rPr>
          <w:rFonts w:ascii="Arial" w:eastAsia="Arial" w:hAnsi="Arial" w:cs="Arial"/>
          <w:sz w:val="24"/>
          <w:szCs w:val="24"/>
          <w:highlight w:val="white"/>
        </w:rPr>
        <w:t>Postulación</w:t>
      </w:r>
      <w:proofErr w:type="spellEnd"/>
      <w:r>
        <w:rPr>
          <w:rFonts w:ascii="Arial" w:eastAsia="Arial" w:hAnsi="Arial" w:cs="Arial"/>
          <w:sz w:val="24"/>
          <w:szCs w:val="24"/>
          <w:highlight w:val="white"/>
        </w:rPr>
        <w:t xml:space="preserve"> inadmisible por puntaje </w:t>
      </w:r>
      <w:proofErr w:type="spellStart"/>
      <w:r>
        <w:rPr>
          <w:rFonts w:ascii="Arial" w:eastAsia="Arial" w:hAnsi="Arial" w:cs="Arial"/>
          <w:sz w:val="24"/>
          <w:szCs w:val="24"/>
          <w:highlight w:val="white"/>
        </w:rPr>
        <w:t>según</w:t>
      </w:r>
      <w:proofErr w:type="spellEnd"/>
      <w:r>
        <w:rPr>
          <w:rFonts w:ascii="Arial" w:eastAsia="Arial" w:hAnsi="Arial" w:cs="Arial"/>
          <w:sz w:val="24"/>
          <w:szCs w:val="24"/>
          <w:highlight w:val="white"/>
        </w:rPr>
        <w:t xml:space="preserve"> criterios de </w:t>
      </w:r>
      <w:proofErr w:type="spellStart"/>
      <w:r>
        <w:rPr>
          <w:rFonts w:ascii="Arial" w:eastAsia="Arial" w:hAnsi="Arial" w:cs="Arial"/>
          <w:sz w:val="24"/>
          <w:szCs w:val="24"/>
          <w:highlight w:val="white"/>
        </w:rPr>
        <w:t>priorización</w:t>
      </w:r>
      <w:proofErr w:type="spellEnd"/>
      <w:r>
        <w:rPr>
          <w:rFonts w:ascii="Arial" w:eastAsia="Arial" w:hAnsi="Arial" w:cs="Arial"/>
          <w:sz w:val="24"/>
          <w:szCs w:val="24"/>
          <w:highlight w:val="white"/>
        </w:rPr>
        <w:t xml:space="preserve">, donde la </w:t>
      </w:r>
      <w:proofErr w:type="spellStart"/>
      <w:r>
        <w:rPr>
          <w:rFonts w:ascii="Arial" w:eastAsia="Arial" w:hAnsi="Arial" w:cs="Arial"/>
          <w:sz w:val="24"/>
          <w:szCs w:val="24"/>
          <w:highlight w:val="white"/>
        </w:rPr>
        <w:t>postulación</w:t>
      </w:r>
      <w:proofErr w:type="spellEnd"/>
      <w:r>
        <w:rPr>
          <w:rFonts w:ascii="Arial" w:eastAsia="Arial" w:hAnsi="Arial" w:cs="Arial"/>
          <w:sz w:val="24"/>
          <w:szCs w:val="24"/>
          <w:highlight w:val="white"/>
        </w:rPr>
        <w:t xml:space="preserve"> se encuentra fuera de acceso de acuerdo al presupuesto disponible, </w:t>
      </w:r>
      <w:proofErr w:type="spellStart"/>
      <w:r>
        <w:rPr>
          <w:rFonts w:ascii="Arial" w:eastAsia="Arial" w:hAnsi="Arial" w:cs="Arial"/>
          <w:sz w:val="24"/>
          <w:szCs w:val="24"/>
          <w:highlight w:val="white"/>
        </w:rPr>
        <w:t>según</w:t>
      </w:r>
      <w:proofErr w:type="spellEnd"/>
      <w:r>
        <w:rPr>
          <w:rFonts w:ascii="Arial" w:eastAsia="Arial" w:hAnsi="Arial" w:cs="Arial"/>
          <w:sz w:val="24"/>
          <w:szCs w:val="24"/>
          <w:highlight w:val="white"/>
        </w:rPr>
        <w:t xml:space="preserve"> puntaje de corte.</w:t>
      </w:r>
    </w:p>
    <w:p w:rsidR="006121B0" w:rsidRDefault="00EA2FC6">
      <w:pPr>
        <w:keepNext/>
        <w:keepLines/>
        <w:numPr>
          <w:ilvl w:val="0"/>
          <w:numId w:val="1"/>
        </w:numPr>
        <w:jc w:val="both"/>
        <w:rPr>
          <w:rFonts w:ascii="Arial" w:eastAsia="Arial" w:hAnsi="Arial" w:cs="Arial"/>
          <w:sz w:val="24"/>
          <w:szCs w:val="24"/>
          <w:highlight w:val="white"/>
        </w:rPr>
      </w:pPr>
      <w:proofErr w:type="spellStart"/>
      <w:r>
        <w:rPr>
          <w:rFonts w:ascii="Arial" w:eastAsia="Arial" w:hAnsi="Arial" w:cs="Arial"/>
          <w:sz w:val="24"/>
          <w:szCs w:val="24"/>
          <w:highlight w:val="white"/>
        </w:rPr>
        <w:t>Postulación</w:t>
      </w:r>
      <w:proofErr w:type="spellEnd"/>
      <w:r>
        <w:rPr>
          <w:rFonts w:ascii="Arial" w:eastAsia="Arial" w:hAnsi="Arial" w:cs="Arial"/>
          <w:sz w:val="24"/>
          <w:szCs w:val="24"/>
          <w:highlight w:val="white"/>
        </w:rPr>
        <w:t xml:space="preserve"> inadmisible por otro motivo (a especificar)</w:t>
      </w:r>
    </w:p>
    <w:p w:rsidR="006121B0" w:rsidRDefault="00EA2FC6">
      <w:pPr>
        <w:keepNext/>
        <w:keepLines/>
        <w:numPr>
          <w:ilvl w:val="0"/>
          <w:numId w:val="1"/>
        </w:numPr>
        <w:jc w:val="both"/>
        <w:rPr>
          <w:rFonts w:ascii="Arial" w:eastAsia="Arial" w:hAnsi="Arial" w:cs="Arial"/>
          <w:sz w:val="24"/>
          <w:szCs w:val="24"/>
          <w:highlight w:val="white"/>
        </w:rPr>
      </w:pPr>
      <w:proofErr w:type="spellStart"/>
      <w:r>
        <w:rPr>
          <w:rFonts w:ascii="Arial" w:eastAsia="Arial" w:hAnsi="Arial" w:cs="Arial"/>
          <w:sz w:val="24"/>
          <w:szCs w:val="24"/>
          <w:highlight w:val="white"/>
        </w:rPr>
        <w:t>Postulación</w:t>
      </w:r>
      <w:proofErr w:type="spellEnd"/>
      <w:r>
        <w:rPr>
          <w:rFonts w:ascii="Arial" w:eastAsia="Arial" w:hAnsi="Arial" w:cs="Arial"/>
          <w:sz w:val="24"/>
          <w:szCs w:val="24"/>
          <w:highlight w:val="white"/>
        </w:rPr>
        <w:t xml:space="preserve"> admisible por cumplir con los criterios </w:t>
      </w:r>
      <w:proofErr w:type="spellStart"/>
      <w:r>
        <w:rPr>
          <w:rFonts w:ascii="Arial" w:eastAsia="Arial" w:hAnsi="Arial" w:cs="Arial"/>
          <w:sz w:val="24"/>
          <w:szCs w:val="24"/>
          <w:highlight w:val="white"/>
        </w:rPr>
        <w:t>mínimos</w:t>
      </w:r>
      <w:proofErr w:type="spellEnd"/>
      <w:r>
        <w:rPr>
          <w:rFonts w:ascii="Arial" w:eastAsia="Arial" w:hAnsi="Arial" w:cs="Arial"/>
          <w:sz w:val="24"/>
          <w:szCs w:val="24"/>
          <w:highlight w:val="white"/>
        </w:rPr>
        <w:t xml:space="preserve"> de </w:t>
      </w:r>
      <w:proofErr w:type="spellStart"/>
      <w:r>
        <w:rPr>
          <w:rFonts w:ascii="Arial" w:eastAsia="Arial" w:hAnsi="Arial" w:cs="Arial"/>
          <w:sz w:val="24"/>
          <w:szCs w:val="24"/>
          <w:highlight w:val="white"/>
        </w:rPr>
        <w:t>aceptación</w:t>
      </w:r>
      <w:proofErr w:type="spellEnd"/>
      <w:r>
        <w:rPr>
          <w:rFonts w:ascii="Arial" w:eastAsia="Arial" w:hAnsi="Arial" w:cs="Arial"/>
          <w:sz w:val="24"/>
          <w:szCs w:val="24"/>
          <w:highlight w:val="white"/>
        </w:rPr>
        <w:t xml:space="preserve"> y con puntaje de acuerdo a</w:t>
      </w:r>
      <w:r w:rsidR="0014489A">
        <w:rPr>
          <w:rFonts w:ascii="Arial" w:eastAsia="Arial" w:hAnsi="Arial" w:cs="Arial"/>
          <w:sz w:val="24"/>
          <w:szCs w:val="24"/>
          <w:highlight w:val="white"/>
        </w:rPr>
        <w:t>l</w:t>
      </w:r>
      <w:r>
        <w:rPr>
          <w:rFonts w:ascii="Arial" w:eastAsia="Arial" w:hAnsi="Arial" w:cs="Arial"/>
          <w:sz w:val="24"/>
          <w:szCs w:val="24"/>
          <w:highlight w:val="white"/>
        </w:rPr>
        <w:t xml:space="preserve"> presupuesto regional. </w:t>
      </w:r>
      <w:r>
        <w:rPr>
          <w:rFonts w:ascii="Arial" w:eastAsia="Arial" w:hAnsi="Arial" w:cs="Arial"/>
          <w:b/>
          <w:sz w:val="24"/>
          <w:szCs w:val="24"/>
          <w:highlight w:val="white"/>
        </w:rPr>
        <w:t xml:space="preserve">Estas postulaciones </w:t>
      </w:r>
      <w:proofErr w:type="spellStart"/>
      <w:r>
        <w:rPr>
          <w:rFonts w:ascii="Arial" w:eastAsia="Arial" w:hAnsi="Arial" w:cs="Arial"/>
          <w:b/>
          <w:sz w:val="24"/>
          <w:szCs w:val="24"/>
          <w:highlight w:val="white"/>
        </w:rPr>
        <w:t>continuarán</w:t>
      </w:r>
      <w:proofErr w:type="spellEnd"/>
      <w:r>
        <w:rPr>
          <w:rFonts w:ascii="Arial" w:eastAsia="Arial" w:hAnsi="Arial" w:cs="Arial"/>
          <w:b/>
          <w:sz w:val="24"/>
          <w:szCs w:val="24"/>
          <w:highlight w:val="white"/>
        </w:rPr>
        <w:t xml:space="preserve"> a la </w:t>
      </w:r>
      <w:proofErr w:type="spellStart"/>
      <w:r>
        <w:rPr>
          <w:rFonts w:ascii="Arial" w:eastAsia="Arial" w:hAnsi="Arial" w:cs="Arial"/>
          <w:b/>
          <w:sz w:val="24"/>
          <w:szCs w:val="24"/>
          <w:highlight w:val="white"/>
        </w:rPr>
        <w:t>revisión</w:t>
      </w:r>
      <w:proofErr w:type="spellEnd"/>
      <w:r>
        <w:rPr>
          <w:rFonts w:ascii="Arial" w:eastAsia="Arial" w:hAnsi="Arial" w:cs="Arial"/>
          <w:b/>
          <w:sz w:val="24"/>
          <w:szCs w:val="24"/>
          <w:highlight w:val="white"/>
        </w:rPr>
        <w:t xml:space="preserve"> de </w:t>
      </w:r>
      <w:proofErr w:type="spellStart"/>
      <w:r>
        <w:rPr>
          <w:rFonts w:ascii="Arial" w:eastAsia="Arial" w:hAnsi="Arial" w:cs="Arial"/>
          <w:b/>
          <w:sz w:val="24"/>
          <w:szCs w:val="24"/>
          <w:highlight w:val="white"/>
        </w:rPr>
        <w:t>documentación</w:t>
      </w:r>
      <w:proofErr w:type="spellEnd"/>
      <w:r>
        <w:rPr>
          <w:rFonts w:ascii="Arial" w:eastAsia="Arial" w:hAnsi="Arial" w:cs="Arial"/>
          <w:b/>
          <w:sz w:val="24"/>
          <w:szCs w:val="24"/>
          <w:highlight w:val="white"/>
        </w:rPr>
        <w:t xml:space="preserve"> en la evaluación. </w:t>
      </w:r>
    </w:p>
    <w:p w:rsidR="006121B0" w:rsidRDefault="006121B0">
      <w:pPr>
        <w:keepNext/>
        <w:keepLines/>
        <w:ind w:left="720"/>
        <w:jc w:val="both"/>
        <w:rPr>
          <w:rFonts w:ascii="Arial" w:eastAsia="Arial" w:hAnsi="Arial" w:cs="Arial"/>
          <w:b/>
          <w:sz w:val="24"/>
          <w:szCs w:val="24"/>
          <w:highlight w:val="white"/>
        </w:rPr>
      </w:pPr>
    </w:p>
    <w:p w:rsidR="006121B0" w:rsidRDefault="00EA2FC6">
      <w:pPr>
        <w:keepNext/>
        <w:keepLines/>
        <w:numPr>
          <w:ilvl w:val="0"/>
          <w:numId w:val="2"/>
        </w:numPr>
        <w:spacing w:before="200"/>
        <w:jc w:val="both"/>
        <w:rPr>
          <w:sz w:val="24"/>
          <w:szCs w:val="24"/>
          <w:highlight w:val="white"/>
        </w:rPr>
      </w:pPr>
      <w:r>
        <w:rPr>
          <w:rFonts w:ascii="Arial" w:eastAsia="Arial" w:hAnsi="Arial" w:cs="Arial"/>
          <w:b/>
          <w:sz w:val="24"/>
          <w:szCs w:val="24"/>
          <w:highlight w:val="white"/>
        </w:rPr>
        <w:t>¿Qué son los criterios mínimos de aceptación de la admisibilidad?</w:t>
      </w:r>
    </w:p>
    <w:p w:rsidR="006121B0" w:rsidRDefault="00EA2FC6">
      <w:pPr>
        <w:keepNext/>
        <w:keepLines/>
        <w:spacing w:before="200"/>
        <w:jc w:val="both"/>
        <w:rPr>
          <w:rFonts w:ascii="Arial" w:eastAsia="Arial" w:hAnsi="Arial" w:cs="Arial"/>
          <w:sz w:val="24"/>
          <w:szCs w:val="24"/>
          <w:highlight w:val="white"/>
        </w:rPr>
      </w:pPr>
      <w:r>
        <w:rPr>
          <w:rFonts w:ascii="Arial" w:eastAsia="Arial" w:hAnsi="Arial" w:cs="Arial"/>
          <w:sz w:val="24"/>
          <w:szCs w:val="24"/>
          <w:highlight w:val="white"/>
        </w:rPr>
        <w:t>Son aquellos criterios que deben cumplir todos los casos postulados exitosamente, siendo estos los siguientes:</w:t>
      </w:r>
    </w:p>
    <w:p w:rsidR="006121B0" w:rsidRDefault="00EA2FC6">
      <w:pPr>
        <w:keepNext/>
        <w:keepLines/>
        <w:numPr>
          <w:ilvl w:val="0"/>
          <w:numId w:val="3"/>
        </w:numPr>
        <w:spacing w:before="200"/>
        <w:jc w:val="both"/>
        <w:rPr>
          <w:rFonts w:ascii="Arial" w:eastAsia="Arial" w:hAnsi="Arial" w:cs="Arial"/>
          <w:sz w:val="24"/>
          <w:szCs w:val="24"/>
          <w:highlight w:val="white"/>
        </w:rPr>
      </w:pPr>
      <w:r>
        <w:rPr>
          <w:rFonts w:ascii="Arial" w:eastAsia="Arial" w:hAnsi="Arial" w:cs="Arial"/>
          <w:sz w:val="24"/>
          <w:szCs w:val="24"/>
          <w:highlight w:val="white"/>
        </w:rPr>
        <w:t>Cumplir criterios de acceso según cada línea presupuestaria, sea Programa Regular o Programa Chile Solidario / Seguridades y Oportunidades.</w:t>
      </w:r>
    </w:p>
    <w:p w:rsidR="006121B0" w:rsidRDefault="00EA2FC6">
      <w:pPr>
        <w:keepNext/>
        <w:keepLines/>
        <w:numPr>
          <w:ilvl w:val="0"/>
          <w:numId w:val="3"/>
        </w:numPr>
        <w:jc w:val="both"/>
        <w:rPr>
          <w:rFonts w:ascii="Arial" w:eastAsia="Arial" w:hAnsi="Arial" w:cs="Arial"/>
          <w:sz w:val="24"/>
          <w:szCs w:val="24"/>
          <w:highlight w:val="white"/>
        </w:rPr>
      </w:pPr>
      <w:r>
        <w:rPr>
          <w:rFonts w:ascii="Arial" w:eastAsia="Arial" w:hAnsi="Arial" w:cs="Arial"/>
          <w:sz w:val="24"/>
          <w:szCs w:val="24"/>
          <w:highlight w:val="white"/>
        </w:rPr>
        <w:t>Adjuntar la documentación de respaldo.</w:t>
      </w:r>
    </w:p>
    <w:p w:rsidR="006121B0" w:rsidRDefault="00EA2FC6">
      <w:pPr>
        <w:keepNext/>
        <w:keepLines/>
        <w:numPr>
          <w:ilvl w:val="0"/>
          <w:numId w:val="3"/>
        </w:numPr>
        <w:jc w:val="both"/>
        <w:rPr>
          <w:rFonts w:ascii="Arial" w:eastAsia="Arial" w:hAnsi="Arial" w:cs="Arial"/>
          <w:sz w:val="24"/>
          <w:szCs w:val="24"/>
          <w:highlight w:val="white"/>
        </w:rPr>
      </w:pPr>
      <w:r>
        <w:rPr>
          <w:rFonts w:ascii="Arial" w:eastAsia="Arial" w:hAnsi="Arial" w:cs="Arial"/>
          <w:sz w:val="24"/>
          <w:szCs w:val="24"/>
          <w:highlight w:val="white"/>
        </w:rPr>
        <w:t>Que la Ayuda Técnica requerida, no tenga cobertura garantizada por el Estado o por otras vías, tales como Chile Crece Contigo, AUGE o GES, Ley Ricarte Soto o JUNAEB.</w:t>
      </w:r>
    </w:p>
    <w:p w:rsidR="006121B0" w:rsidRDefault="00EA2FC6">
      <w:pPr>
        <w:keepNext/>
        <w:keepLines/>
        <w:numPr>
          <w:ilvl w:val="0"/>
          <w:numId w:val="3"/>
        </w:numPr>
        <w:jc w:val="both"/>
        <w:rPr>
          <w:rFonts w:ascii="Arial" w:eastAsia="Arial" w:hAnsi="Arial" w:cs="Arial"/>
          <w:sz w:val="24"/>
          <w:szCs w:val="24"/>
          <w:highlight w:val="white"/>
        </w:rPr>
      </w:pPr>
      <w:r>
        <w:rPr>
          <w:rFonts w:ascii="Arial" w:eastAsia="Arial" w:hAnsi="Arial" w:cs="Arial"/>
          <w:sz w:val="24"/>
          <w:szCs w:val="24"/>
          <w:highlight w:val="white"/>
        </w:rPr>
        <w:t>Que el postulante haya sido beneficiado en una convocatoria anterior con la misma Ayuda Técnica a la que postula actualmente, pero esta no se encuentra con vida útil vigente.</w:t>
      </w:r>
    </w:p>
    <w:p w:rsidR="006121B0" w:rsidRDefault="00EA2FC6">
      <w:pPr>
        <w:keepNext/>
        <w:keepLines/>
        <w:numPr>
          <w:ilvl w:val="0"/>
          <w:numId w:val="2"/>
        </w:numPr>
        <w:spacing w:before="200"/>
        <w:jc w:val="both"/>
        <w:rPr>
          <w:sz w:val="24"/>
          <w:szCs w:val="24"/>
          <w:highlight w:val="white"/>
        </w:rPr>
      </w:pPr>
      <w:r>
        <w:rPr>
          <w:rFonts w:ascii="Arial" w:eastAsia="Arial" w:hAnsi="Arial" w:cs="Arial"/>
          <w:b/>
          <w:sz w:val="24"/>
          <w:szCs w:val="24"/>
          <w:highlight w:val="white"/>
        </w:rPr>
        <w:t>¿Qué son los criterios de priorización?</w:t>
      </w:r>
    </w:p>
    <w:p w:rsidR="006121B0" w:rsidRDefault="00EA2FC6">
      <w:pPr>
        <w:keepNext/>
        <w:keepLines/>
        <w:pBdr>
          <w:top w:val="nil"/>
          <w:left w:val="nil"/>
          <w:bottom w:val="nil"/>
          <w:right w:val="nil"/>
          <w:between w:val="nil"/>
        </w:pBdr>
        <w:spacing w:before="200"/>
        <w:jc w:val="both"/>
        <w:rPr>
          <w:rFonts w:ascii="Arial" w:eastAsia="Arial" w:hAnsi="Arial" w:cs="Arial"/>
          <w:sz w:val="24"/>
          <w:szCs w:val="24"/>
          <w:highlight w:val="white"/>
        </w:rPr>
      </w:pPr>
      <w:r>
        <w:rPr>
          <w:rFonts w:ascii="Arial" w:eastAsia="Arial" w:hAnsi="Arial" w:cs="Arial"/>
          <w:sz w:val="24"/>
          <w:szCs w:val="24"/>
          <w:highlight w:val="white"/>
        </w:rPr>
        <w:lastRenderedPageBreak/>
        <w:t>Son aquellos criterios para asignar puntajes a las postulaciones, los que se aplican a todos los casos que cumplen con los criterios mínimos de aceptación.</w:t>
      </w:r>
    </w:p>
    <w:p w:rsidR="006121B0" w:rsidRDefault="00EA2FC6">
      <w:pPr>
        <w:keepNext/>
        <w:keepLines/>
        <w:numPr>
          <w:ilvl w:val="0"/>
          <w:numId w:val="2"/>
        </w:numPr>
        <w:spacing w:before="200"/>
        <w:jc w:val="both"/>
        <w:rPr>
          <w:sz w:val="24"/>
          <w:szCs w:val="24"/>
          <w:highlight w:val="white"/>
        </w:rPr>
      </w:pPr>
      <w:r>
        <w:rPr>
          <w:rFonts w:ascii="Arial" w:eastAsia="Arial" w:hAnsi="Arial" w:cs="Arial"/>
          <w:b/>
          <w:sz w:val="24"/>
          <w:szCs w:val="24"/>
          <w:highlight w:val="white"/>
        </w:rPr>
        <w:t>¿Por qué las postulaciones deben ser priorizadas por puntajes?</w:t>
      </w:r>
    </w:p>
    <w:p w:rsidR="006121B0" w:rsidRDefault="00EA2FC6">
      <w:pPr>
        <w:keepNext/>
        <w:keepLines/>
        <w:spacing w:before="200"/>
        <w:jc w:val="both"/>
        <w:rPr>
          <w:rFonts w:ascii="Arial" w:eastAsia="Arial" w:hAnsi="Arial" w:cs="Arial"/>
          <w:sz w:val="24"/>
          <w:szCs w:val="24"/>
          <w:highlight w:val="white"/>
        </w:rPr>
      </w:pPr>
      <w:r>
        <w:rPr>
          <w:rFonts w:ascii="Arial" w:eastAsia="Arial" w:hAnsi="Arial" w:cs="Arial"/>
          <w:sz w:val="24"/>
          <w:szCs w:val="24"/>
        </w:rPr>
        <w:t>La priorización de casos por puntajes se realiza para identificar a las personas que poseen mayor necesidad de alguna Ayuda Técnica según un conjunto de criterios debidamente informados por SENADIS y en un contexto de recursos acotados.</w:t>
      </w:r>
    </w:p>
    <w:p w:rsidR="006121B0" w:rsidRDefault="00EA2FC6">
      <w:pPr>
        <w:keepNext/>
        <w:keepLines/>
        <w:numPr>
          <w:ilvl w:val="0"/>
          <w:numId w:val="2"/>
        </w:numPr>
        <w:spacing w:before="200"/>
        <w:jc w:val="both"/>
        <w:rPr>
          <w:sz w:val="24"/>
          <w:szCs w:val="24"/>
          <w:highlight w:val="white"/>
        </w:rPr>
      </w:pPr>
      <w:r>
        <w:rPr>
          <w:rFonts w:ascii="Arial" w:eastAsia="Arial" w:hAnsi="Arial" w:cs="Arial"/>
          <w:b/>
          <w:sz w:val="24"/>
          <w:szCs w:val="24"/>
          <w:highlight w:val="white"/>
        </w:rPr>
        <w:t>¿Cuáles son los criterios de priorización de las postulaciones?</w:t>
      </w:r>
    </w:p>
    <w:p w:rsidR="006121B0" w:rsidRDefault="00EA2FC6">
      <w:pPr>
        <w:keepNext/>
        <w:keepLines/>
        <w:spacing w:before="200"/>
        <w:jc w:val="both"/>
        <w:rPr>
          <w:rFonts w:ascii="Arial" w:eastAsia="Arial" w:hAnsi="Arial" w:cs="Arial"/>
          <w:sz w:val="24"/>
          <w:szCs w:val="24"/>
        </w:rPr>
      </w:pPr>
      <w:r>
        <w:rPr>
          <w:rFonts w:ascii="Arial" w:eastAsia="Arial" w:hAnsi="Arial" w:cs="Arial"/>
          <w:sz w:val="24"/>
          <w:szCs w:val="24"/>
        </w:rPr>
        <w:t xml:space="preserve">Tal como se detalla en las </w:t>
      </w:r>
      <w:proofErr w:type="spellStart"/>
      <w:r>
        <w:rPr>
          <w:rFonts w:ascii="Arial" w:eastAsia="Arial" w:hAnsi="Arial" w:cs="Arial"/>
          <w:sz w:val="24"/>
          <w:szCs w:val="24"/>
        </w:rPr>
        <w:t>Orietaciones</w:t>
      </w:r>
      <w:proofErr w:type="spellEnd"/>
      <w:r>
        <w:rPr>
          <w:rFonts w:ascii="Arial" w:eastAsia="Arial" w:hAnsi="Arial" w:cs="Arial"/>
          <w:sz w:val="24"/>
          <w:szCs w:val="24"/>
        </w:rPr>
        <w:t xml:space="preserve"> Técnicas, los casos correspondientes a “Programa Regular” </w:t>
      </w:r>
      <w:proofErr w:type="spellStart"/>
      <w:r>
        <w:rPr>
          <w:rFonts w:ascii="Arial" w:eastAsia="Arial" w:hAnsi="Arial" w:cs="Arial"/>
          <w:sz w:val="24"/>
          <w:szCs w:val="24"/>
        </w:rPr>
        <w:t>contarán</w:t>
      </w:r>
      <w:proofErr w:type="spellEnd"/>
      <w:r>
        <w:rPr>
          <w:rFonts w:ascii="Arial" w:eastAsia="Arial" w:hAnsi="Arial" w:cs="Arial"/>
          <w:sz w:val="24"/>
          <w:szCs w:val="24"/>
        </w:rPr>
        <w:t xml:space="preserve"> con 5 criterios de </w:t>
      </w:r>
      <w:proofErr w:type="spellStart"/>
      <w:r>
        <w:rPr>
          <w:rFonts w:ascii="Arial" w:eastAsia="Arial" w:hAnsi="Arial" w:cs="Arial"/>
          <w:sz w:val="24"/>
          <w:szCs w:val="24"/>
        </w:rPr>
        <w:t>priorización</w:t>
      </w:r>
      <w:proofErr w:type="spellEnd"/>
      <w:r>
        <w:rPr>
          <w:rFonts w:ascii="Arial" w:eastAsia="Arial" w:hAnsi="Arial" w:cs="Arial"/>
          <w:sz w:val="24"/>
          <w:szCs w:val="24"/>
        </w:rPr>
        <w:t>:</w:t>
      </w:r>
    </w:p>
    <w:p w:rsidR="006121B0" w:rsidRDefault="00EA2FC6">
      <w:pPr>
        <w:keepNext/>
        <w:keepLines/>
        <w:spacing w:before="200"/>
        <w:jc w:val="both"/>
        <w:rPr>
          <w:rFonts w:ascii="Arial" w:eastAsia="Arial" w:hAnsi="Arial" w:cs="Arial"/>
          <w:sz w:val="24"/>
          <w:szCs w:val="24"/>
        </w:rPr>
      </w:pPr>
      <w:r>
        <w:rPr>
          <w:rFonts w:ascii="Arial" w:eastAsia="Arial" w:hAnsi="Arial" w:cs="Arial"/>
          <w:noProof/>
          <w:sz w:val="24"/>
          <w:szCs w:val="24"/>
          <w:lang w:eastAsia="es-ES"/>
        </w:rPr>
        <w:drawing>
          <wp:inline distT="114300" distB="114300" distL="114300" distR="114300">
            <wp:extent cx="5972175" cy="42164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72175" cy="4216400"/>
                    </a:xfrm>
                    <a:prstGeom prst="rect">
                      <a:avLst/>
                    </a:prstGeom>
                    <a:ln/>
                  </pic:spPr>
                </pic:pic>
              </a:graphicData>
            </a:graphic>
          </wp:inline>
        </w:drawing>
      </w:r>
    </w:p>
    <w:p w:rsidR="006121B0" w:rsidRDefault="006121B0">
      <w:pPr>
        <w:keepNext/>
        <w:keepLines/>
        <w:spacing w:before="200"/>
        <w:jc w:val="both"/>
        <w:rPr>
          <w:rFonts w:ascii="Arial" w:eastAsia="Arial" w:hAnsi="Arial" w:cs="Arial"/>
          <w:sz w:val="24"/>
          <w:szCs w:val="24"/>
        </w:rPr>
      </w:pPr>
    </w:p>
    <w:p w:rsidR="006121B0" w:rsidRDefault="006121B0">
      <w:pPr>
        <w:keepNext/>
        <w:keepLines/>
        <w:spacing w:before="200"/>
        <w:jc w:val="both"/>
        <w:rPr>
          <w:rFonts w:ascii="Arial" w:eastAsia="Arial" w:hAnsi="Arial" w:cs="Arial"/>
          <w:sz w:val="24"/>
          <w:szCs w:val="24"/>
        </w:rPr>
      </w:pPr>
    </w:p>
    <w:p w:rsidR="006121B0" w:rsidRDefault="006121B0">
      <w:pPr>
        <w:keepNext/>
        <w:keepLines/>
        <w:spacing w:before="200"/>
        <w:jc w:val="both"/>
        <w:rPr>
          <w:rFonts w:ascii="Arial" w:eastAsia="Arial" w:hAnsi="Arial" w:cs="Arial"/>
          <w:sz w:val="24"/>
          <w:szCs w:val="24"/>
        </w:rPr>
      </w:pPr>
    </w:p>
    <w:p w:rsidR="006121B0" w:rsidRDefault="006121B0">
      <w:pPr>
        <w:keepNext/>
        <w:keepLines/>
        <w:spacing w:before="200"/>
        <w:jc w:val="both"/>
        <w:rPr>
          <w:rFonts w:ascii="Arial" w:eastAsia="Arial" w:hAnsi="Arial" w:cs="Arial"/>
          <w:sz w:val="24"/>
          <w:szCs w:val="24"/>
        </w:rPr>
      </w:pPr>
    </w:p>
    <w:p w:rsidR="0014489A" w:rsidRDefault="0014489A">
      <w:pPr>
        <w:keepNext/>
        <w:keepLines/>
        <w:spacing w:before="200"/>
        <w:jc w:val="both"/>
        <w:rPr>
          <w:rFonts w:ascii="Arial" w:eastAsia="Arial" w:hAnsi="Arial" w:cs="Arial"/>
          <w:sz w:val="24"/>
          <w:szCs w:val="24"/>
        </w:rPr>
      </w:pPr>
    </w:p>
    <w:p w:rsidR="0014489A" w:rsidRDefault="0014489A">
      <w:pPr>
        <w:keepNext/>
        <w:keepLines/>
        <w:spacing w:before="200"/>
        <w:jc w:val="both"/>
        <w:rPr>
          <w:rFonts w:ascii="Arial" w:eastAsia="Arial" w:hAnsi="Arial" w:cs="Arial"/>
          <w:sz w:val="24"/>
          <w:szCs w:val="24"/>
        </w:rPr>
      </w:pPr>
    </w:p>
    <w:p w:rsidR="0014489A" w:rsidRDefault="0014489A">
      <w:pPr>
        <w:keepNext/>
        <w:keepLines/>
        <w:spacing w:before="200"/>
        <w:jc w:val="both"/>
        <w:rPr>
          <w:rFonts w:ascii="Arial" w:eastAsia="Arial" w:hAnsi="Arial" w:cs="Arial"/>
          <w:sz w:val="24"/>
          <w:szCs w:val="24"/>
        </w:rPr>
      </w:pPr>
    </w:p>
    <w:p w:rsidR="006121B0" w:rsidRDefault="006121B0">
      <w:pPr>
        <w:keepNext/>
        <w:keepLines/>
        <w:spacing w:before="200"/>
        <w:jc w:val="both"/>
        <w:rPr>
          <w:rFonts w:ascii="Arial" w:eastAsia="Arial" w:hAnsi="Arial" w:cs="Arial"/>
          <w:sz w:val="24"/>
          <w:szCs w:val="24"/>
        </w:rPr>
      </w:pPr>
    </w:p>
    <w:p w:rsidR="006121B0" w:rsidRDefault="006121B0">
      <w:pPr>
        <w:keepNext/>
        <w:keepLines/>
        <w:spacing w:before="200"/>
        <w:jc w:val="both"/>
        <w:rPr>
          <w:rFonts w:ascii="Arial" w:eastAsia="Arial" w:hAnsi="Arial" w:cs="Arial"/>
          <w:sz w:val="24"/>
          <w:szCs w:val="24"/>
        </w:rPr>
      </w:pPr>
    </w:p>
    <w:p w:rsidR="006121B0" w:rsidRDefault="00EA2FC6">
      <w:pPr>
        <w:keepNext/>
        <w:keepLines/>
        <w:spacing w:before="200"/>
        <w:jc w:val="both"/>
        <w:rPr>
          <w:rFonts w:ascii="Arial" w:eastAsia="Arial" w:hAnsi="Arial" w:cs="Arial"/>
          <w:sz w:val="24"/>
          <w:szCs w:val="24"/>
        </w:rPr>
      </w:pPr>
      <w:r>
        <w:rPr>
          <w:rFonts w:ascii="Arial" w:eastAsia="Arial" w:hAnsi="Arial" w:cs="Arial"/>
          <w:sz w:val="24"/>
          <w:szCs w:val="24"/>
        </w:rPr>
        <w:t xml:space="preserve">Los casos correspondientes al “Programa Chile Solidario / Seguridades y Oportunidades” </w:t>
      </w:r>
      <w:proofErr w:type="spellStart"/>
      <w:r>
        <w:rPr>
          <w:rFonts w:ascii="Arial" w:eastAsia="Arial" w:hAnsi="Arial" w:cs="Arial"/>
          <w:sz w:val="24"/>
          <w:szCs w:val="24"/>
        </w:rPr>
        <w:t>contarán</w:t>
      </w:r>
      <w:proofErr w:type="spellEnd"/>
      <w:r>
        <w:rPr>
          <w:rFonts w:ascii="Arial" w:eastAsia="Arial" w:hAnsi="Arial" w:cs="Arial"/>
          <w:sz w:val="24"/>
          <w:szCs w:val="24"/>
        </w:rPr>
        <w:t xml:space="preserve"> con 6 criterios de priorización:</w:t>
      </w:r>
    </w:p>
    <w:p w:rsidR="006121B0" w:rsidRDefault="00EA2FC6">
      <w:pPr>
        <w:keepNext/>
        <w:keepLines/>
        <w:spacing w:before="200"/>
        <w:jc w:val="both"/>
        <w:rPr>
          <w:rFonts w:ascii="Arial" w:eastAsia="Arial" w:hAnsi="Arial" w:cs="Arial"/>
          <w:sz w:val="24"/>
          <w:szCs w:val="24"/>
        </w:rPr>
      </w:pPr>
      <w:r>
        <w:rPr>
          <w:rFonts w:ascii="Arial" w:eastAsia="Arial" w:hAnsi="Arial" w:cs="Arial"/>
          <w:noProof/>
          <w:sz w:val="24"/>
          <w:szCs w:val="24"/>
          <w:lang w:eastAsia="es-ES"/>
        </w:rPr>
        <w:lastRenderedPageBreak/>
        <w:drawing>
          <wp:inline distT="114300" distB="114300" distL="114300" distR="114300">
            <wp:extent cx="5972175" cy="5016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72175" cy="5016500"/>
                    </a:xfrm>
                    <a:prstGeom prst="rect">
                      <a:avLst/>
                    </a:prstGeom>
                    <a:ln/>
                  </pic:spPr>
                </pic:pic>
              </a:graphicData>
            </a:graphic>
          </wp:inline>
        </w:drawing>
      </w:r>
    </w:p>
    <w:p w:rsidR="006121B0" w:rsidRDefault="00EA2FC6">
      <w:pPr>
        <w:keepNext/>
        <w:keepLines/>
        <w:numPr>
          <w:ilvl w:val="0"/>
          <w:numId w:val="2"/>
        </w:numPr>
        <w:spacing w:before="200"/>
        <w:jc w:val="both"/>
        <w:rPr>
          <w:sz w:val="24"/>
          <w:szCs w:val="24"/>
          <w:highlight w:val="white"/>
        </w:rPr>
      </w:pPr>
      <w:r>
        <w:rPr>
          <w:rFonts w:ascii="Arial" w:eastAsia="Arial" w:hAnsi="Arial" w:cs="Arial"/>
          <w:b/>
          <w:sz w:val="24"/>
          <w:szCs w:val="24"/>
          <w:highlight w:val="white"/>
        </w:rPr>
        <w:t>¿Qué es el “criterio regional” de priorización?</w:t>
      </w:r>
    </w:p>
    <w:p w:rsidR="006121B0" w:rsidRDefault="00EA2FC6">
      <w:pPr>
        <w:keepNext/>
        <w:keepLines/>
        <w:pBdr>
          <w:top w:val="nil"/>
          <w:left w:val="nil"/>
          <w:bottom w:val="nil"/>
          <w:right w:val="nil"/>
          <w:between w:val="nil"/>
        </w:pBdr>
        <w:spacing w:before="200"/>
        <w:jc w:val="both"/>
        <w:rPr>
          <w:rFonts w:ascii="Arial" w:eastAsia="Arial" w:hAnsi="Arial" w:cs="Arial"/>
          <w:sz w:val="24"/>
          <w:szCs w:val="24"/>
          <w:highlight w:val="white"/>
        </w:rPr>
      </w:pPr>
      <w:r>
        <w:rPr>
          <w:rFonts w:ascii="Arial" w:eastAsia="Arial" w:hAnsi="Arial" w:cs="Arial"/>
          <w:sz w:val="24"/>
          <w:szCs w:val="24"/>
          <w:highlight w:val="white"/>
        </w:rPr>
        <w:t>Conforme a lo señalado en las Orientaciones Técnicas 2020 de SENADIS, el “criterio regional” es una de las ponderaciones para la priorización de postulaciones en esta convocatoria, el cual fue determinado por cada Dirección Regional de SENADIS entre cuatro alternativas disponibles, las cuales son:</w:t>
      </w:r>
    </w:p>
    <w:p w:rsidR="006121B0" w:rsidRDefault="006121B0">
      <w:pPr>
        <w:keepNext/>
        <w:keepLines/>
        <w:pBdr>
          <w:top w:val="nil"/>
          <w:left w:val="nil"/>
          <w:bottom w:val="nil"/>
          <w:right w:val="nil"/>
          <w:between w:val="nil"/>
        </w:pBdr>
        <w:spacing w:before="200"/>
        <w:jc w:val="both"/>
        <w:rPr>
          <w:rFonts w:ascii="Arial" w:eastAsia="Arial" w:hAnsi="Arial" w:cs="Arial"/>
          <w:sz w:val="24"/>
          <w:szCs w:val="24"/>
          <w:highlight w:val="white"/>
        </w:rPr>
      </w:pPr>
    </w:p>
    <w:tbl>
      <w:tblPr>
        <w:tblStyle w:val="a"/>
        <w:tblW w:w="88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045"/>
        <w:gridCol w:w="3015"/>
        <w:gridCol w:w="2760"/>
      </w:tblGrid>
      <w:tr w:rsidR="006121B0">
        <w:trPr>
          <w:trHeight w:val="720"/>
        </w:trPr>
        <w:tc>
          <w:tcPr>
            <w:tcW w:w="3045" w:type="dxa"/>
            <w:tcBorders>
              <w:top w:val="single" w:sz="8" w:space="0" w:color="5B9BD5"/>
              <w:left w:val="single" w:sz="8" w:space="0" w:color="000000"/>
              <w:bottom w:val="single" w:sz="8" w:space="0" w:color="5B9BD5"/>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b/>
                <w:sz w:val="22"/>
                <w:szCs w:val="22"/>
              </w:rPr>
            </w:pPr>
            <w:r>
              <w:rPr>
                <w:rFonts w:ascii="Arial" w:eastAsia="Arial" w:hAnsi="Arial" w:cs="Arial"/>
                <w:b/>
                <w:sz w:val="22"/>
                <w:szCs w:val="22"/>
              </w:rPr>
              <w:t>Nombre de criterio regional</w:t>
            </w:r>
          </w:p>
        </w:tc>
        <w:tc>
          <w:tcPr>
            <w:tcW w:w="3015" w:type="dxa"/>
            <w:tcBorders>
              <w:top w:val="single" w:sz="8" w:space="0" w:color="5B9BD5"/>
              <w:left w:val="single" w:sz="8" w:space="0" w:color="000000"/>
              <w:bottom w:val="single" w:sz="8" w:space="0" w:color="5B9BD5"/>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b/>
                <w:sz w:val="22"/>
                <w:szCs w:val="22"/>
              </w:rPr>
            </w:pPr>
            <w:r>
              <w:rPr>
                <w:rFonts w:ascii="Arial" w:eastAsia="Arial" w:hAnsi="Arial" w:cs="Arial"/>
                <w:b/>
                <w:sz w:val="22"/>
                <w:szCs w:val="22"/>
              </w:rPr>
              <w:t>Descripción</w:t>
            </w:r>
          </w:p>
        </w:tc>
        <w:tc>
          <w:tcPr>
            <w:tcW w:w="2760" w:type="dxa"/>
            <w:tcBorders>
              <w:top w:val="single" w:sz="8" w:space="0" w:color="5B9BD5"/>
              <w:left w:val="single" w:sz="8" w:space="0" w:color="000000"/>
              <w:bottom w:val="single" w:sz="8" w:space="0" w:color="5B9BD5"/>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b/>
                <w:sz w:val="22"/>
                <w:szCs w:val="22"/>
              </w:rPr>
            </w:pPr>
            <w:r>
              <w:rPr>
                <w:rFonts w:ascii="Arial" w:eastAsia="Arial" w:hAnsi="Arial" w:cs="Arial"/>
                <w:b/>
                <w:sz w:val="22"/>
                <w:szCs w:val="22"/>
              </w:rPr>
              <w:t>Puntaje</w:t>
            </w:r>
          </w:p>
        </w:tc>
      </w:tr>
      <w:tr w:rsidR="006121B0">
        <w:trPr>
          <w:trHeight w:val="2130"/>
        </w:trPr>
        <w:tc>
          <w:tcPr>
            <w:tcW w:w="3045" w:type="dxa"/>
            <w:tcBorders>
              <w:top w:val="single" w:sz="8" w:space="0" w:color="5B9BD5"/>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b/>
                <w:sz w:val="22"/>
                <w:szCs w:val="22"/>
              </w:rPr>
            </w:pPr>
            <w:r>
              <w:rPr>
                <w:rFonts w:ascii="Arial" w:eastAsia="Arial" w:hAnsi="Arial" w:cs="Arial"/>
                <w:b/>
                <w:sz w:val="22"/>
                <w:szCs w:val="22"/>
              </w:rPr>
              <w:t>Comuna perteneciente a una de las áreas prioritarias de acción social (APAS) *</w:t>
            </w:r>
          </w:p>
        </w:tc>
        <w:tc>
          <w:tcPr>
            <w:tcW w:w="3015" w:type="dxa"/>
            <w:tcBorders>
              <w:top w:val="single" w:sz="8" w:space="0" w:color="5B9BD5"/>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Mayor puntaje a las personas que viven en alguna de las 75 comunas pertenecientes a las áreas prioritarias de acción social (APAS).</w:t>
            </w:r>
          </w:p>
        </w:tc>
        <w:tc>
          <w:tcPr>
            <w:tcW w:w="2760" w:type="dxa"/>
            <w:tcBorders>
              <w:top w:val="single" w:sz="8" w:space="0" w:color="5B9BD5"/>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Sí cumple: 100 puntos.</w:t>
            </w:r>
          </w:p>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No cumple: 50 puntos.</w:t>
            </w:r>
          </w:p>
        </w:tc>
      </w:tr>
      <w:tr w:rsidR="006121B0">
        <w:trPr>
          <w:trHeight w:val="2115"/>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b/>
                <w:sz w:val="22"/>
                <w:szCs w:val="22"/>
              </w:rPr>
            </w:pPr>
            <w:r>
              <w:rPr>
                <w:rFonts w:ascii="Arial" w:eastAsia="Arial" w:hAnsi="Arial" w:cs="Arial"/>
                <w:b/>
                <w:sz w:val="22"/>
                <w:szCs w:val="22"/>
              </w:rPr>
              <w:lastRenderedPageBreak/>
              <w:t>Hogar unipersonal</w:t>
            </w:r>
          </w:p>
        </w:tc>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Mayor puntaje a las personas que viven solos (hogares unipersonales).</w:t>
            </w:r>
          </w:p>
        </w:tc>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Sí cumple: 100 puntos.</w:t>
            </w:r>
          </w:p>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No cumple: 50 puntos.</w:t>
            </w:r>
          </w:p>
        </w:tc>
      </w:tr>
      <w:tr w:rsidR="006121B0">
        <w:trPr>
          <w:trHeight w:val="1230"/>
        </w:trPr>
        <w:tc>
          <w:tcPr>
            <w:tcW w:w="3045"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b/>
                <w:sz w:val="22"/>
                <w:szCs w:val="22"/>
              </w:rPr>
            </w:pPr>
            <w:r>
              <w:rPr>
                <w:rFonts w:ascii="Arial" w:eastAsia="Arial" w:hAnsi="Arial" w:cs="Arial"/>
                <w:b/>
                <w:sz w:val="22"/>
                <w:szCs w:val="22"/>
              </w:rPr>
              <w:t>Jefe/a de hogar</w:t>
            </w:r>
          </w:p>
        </w:tc>
        <w:tc>
          <w:tcPr>
            <w:tcW w:w="3015"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Mayor puntaje a las personas que son jefe/a de hogar.</w:t>
            </w:r>
          </w:p>
        </w:tc>
        <w:tc>
          <w:tcPr>
            <w:tcW w:w="2760"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Sí cumple: 100 puntos.</w:t>
            </w:r>
          </w:p>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No cumple: 50 puntos.</w:t>
            </w:r>
          </w:p>
        </w:tc>
      </w:tr>
      <w:tr w:rsidR="006121B0">
        <w:trPr>
          <w:trHeight w:val="1245"/>
        </w:trPr>
        <w:tc>
          <w:tcPr>
            <w:tcW w:w="3045" w:type="dxa"/>
            <w:tcBorders>
              <w:top w:val="single" w:sz="8" w:space="0" w:color="000000"/>
              <w:left w:val="single" w:sz="8" w:space="0" w:color="000000"/>
              <w:bottom w:val="single" w:sz="8" w:space="0" w:color="5B9BD5"/>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b/>
                <w:sz w:val="22"/>
                <w:szCs w:val="22"/>
              </w:rPr>
            </w:pPr>
            <w:r>
              <w:rPr>
                <w:rFonts w:ascii="Arial" w:eastAsia="Arial" w:hAnsi="Arial" w:cs="Arial"/>
                <w:b/>
                <w:sz w:val="22"/>
                <w:szCs w:val="22"/>
              </w:rPr>
              <w:t>Ruralidad</w:t>
            </w:r>
          </w:p>
        </w:tc>
        <w:tc>
          <w:tcPr>
            <w:tcW w:w="3015" w:type="dxa"/>
            <w:tcBorders>
              <w:top w:val="single" w:sz="8" w:space="0" w:color="000000"/>
              <w:left w:val="single" w:sz="8" w:space="0" w:color="000000"/>
              <w:bottom w:val="single" w:sz="8" w:space="0" w:color="5B9BD5"/>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Mayor puntaje a las personas que viven en zonas rurales.</w:t>
            </w:r>
          </w:p>
        </w:tc>
        <w:tc>
          <w:tcPr>
            <w:tcW w:w="2760" w:type="dxa"/>
            <w:tcBorders>
              <w:top w:val="single" w:sz="8" w:space="0" w:color="000000"/>
              <w:left w:val="single" w:sz="8" w:space="0" w:color="000000"/>
              <w:bottom w:val="single" w:sz="8" w:space="0" w:color="5B9BD5"/>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Sí cumple: 100 puntos.</w:t>
            </w:r>
          </w:p>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No cumple: 50 puntos.</w:t>
            </w:r>
          </w:p>
        </w:tc>
      </w:tr>
    </w:tbl>
    <w:p w:rsidR="006121B0" w:rsidRDefault="00EA2FC6">
      <w:pPr>
        <w:keepNext/>
        <w:keepLines/>
        <w:ind w:right="617"/>
        <w:jc w:val="both"/>
        <w:rPr>
          <w:rFonts w:ascii="Arial" w:eastAsia="Arial" w:hAnsi="Arial" w:cs="Arial"/>
          <w:highlight w:val="white"/>
        </w:rPr>
      </w:pPr>
      <w:r>
        <w:rPr>
          <w:rFonts w:ascii="Arial" w:eastAsia="Arial" w:hAnsi="Arial" w:cs="Arial"/>
          <w:highlight w:val="white"/>
        </w:rPr>
        <w:t>* Puede obtener mayor información sobre el Atlas de Acción Social y las áreas prioritarias en 75 comunas de Chile en:</w:t>
      </w:r>
    </w:p>
    <w:p w:rsidR="006121B0" w:rsidRDefault="00EA2FC6">
      <w:pPr>
        <w:keepNext/>
        <w:keepLines/>
        <w:ind w:right="617"/>
        <w:jc w:val="both"/>
        <w:rPr>
          <w:rFonts w:ascii="Arial" w:eastAsia="Arial" w:hAnsi="Arial" w:cs="Arial"/>
          <w:highlight w:val="white"/>
        </w:rPr>
      </w:pPr>
      <w:r>
        <w:rPr>
          <w:rFonts w:ascii="Arial" w:eastAsia="Arial" w:hAnsi="Arial" w:cs="Arial"/>
          <w:highlight w:val="white"/>
        </w:rPr>
        <w:t>http://www.desarrollosocialyfamilia.gob.cl/informacion-social/atlas-de-accion-social</w:t>
      </w:r>
    </w:p>
    <w:p w:rsidR="006121B0" w:rsidRDefault="006121B0">
      <w:pPr>
        <w:keepNext/>
        <w:keepLines/>
        <w:pBdr>
          <w:top w:val="nil"/>
          <w:left w:val="nil"/>
          <w:bottom w:val="nil"/>
          <w:right w:val="nil"/>
          <w:between w:val="nil"/>
        </w:pBdr>
        <w:spacing w:before="200"/>
        <w:jc w:val="both"/>
        <w:rPr>
          <w:rFonts w:ascii="Arial" w:eastAsia="Arial" w:hAnsi="Arial" w:cs="Arial"/>
          <w:sz w:val="24"/>
          <w:szCs w:val="24"/>
          <w:highlight w:val="white"/>
        </w:rPr>
      </w:pPr>
    </w:p>
    <w:p w:rsidR="006121B0" w:rsidRDefault="00EA2FC6">
      <w:pPr>
        <w:keepNext/>
        <w:keepLines/>
        <w:numPr>
          <w:ilvl w:val="0"/>
          <w:numId w:val="2"/>
        </w:numPr>
        <w:spacing w:before="200"/>
        <w:jc w:val="both"/>
        <w:rPr>
          <w:sz w:val="24"/>
          <w:szCs w:val="24"/>
          <w:highlight w:val="white"/>
        </w:rPr>
      </w:pPr>
      <w:r>
        <w:rPr>
          <w:rFonts w:ascii="Arial" w:eastAsia="Arial" w:hAnsi="Arial" w:cs="Arial"/>
          <w:b/>
          <w:sz w:val="24"/>
          <w:szCs w:val="24"/>
          <w:highlight w:val="white"/>
        </w:rPr>
        <w:t>¿Cuáles son los criterios de priorización en cada región?</w:t>
      </w:r>
    </w:p>
    <w:p w:rsidR="006121B0" w:rsidRDefault="00EA2FC6">
      <w:pPr>
        <w:keepNext/>
        <w:keepLines/>
        <w:spacing w:before="200"/>
        <w:jc w:val="both"/>
        <w:rPr>
          <w:rFonts w:ascii="Arial" w:eastAsia="Arial" w:hAnsi="Arial" w:cs="Arial"/>
          <w:sz w:val="24"/>
          <w:szCs w:val="24"/>
          <w:highlight w:val="white"/>
        </w:rPr>
      </w:pPr>
      <w:r>
        <w:rPr>
          <w:rFonts w:ascii="Arial" w:eastAsia="Arial" w:hAnsi="Arial" w:cs="Arial"/>
          <w:sz w:val="24"/>
          <w:szCs w:val="24"/>
          <w:highlight w:val="white"/>
        </w:rPr>
        <w:t>A continuación se señalan los criterios regionales para esta convocatoria:</w:t>
      </w:r>
    </w:p>
    <w:p w:rsidR="006121B0" w:rsidRDefault="006121B0">
      <w:pPr>
        <w:keepNext/>
        <w:keepLines/>
        <w:spacing w:before="200"/>
        <w:jc w:val="both"/>
        <w:rPr>
          <w:rFonts w:ascii="Arial" w:eastAsia="Arial" w:hAnsi="Arial" w:cs="Arial"/>
          <w:b/>
          <w:sz w:val="24"/>
          <w:szCs w:val="24"/>
          <w:highlight w:val="white"/>
        </w:rPr>
      </w:pPr>
    </w:p>
    <w:tbl>
      <w:tblPr>
        <w:tblStyle w:val="a0"/>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570"/>
        <w:gridCol w:w="5265"/>
      </w:tblGrid>
      <w:tr w:rsidR="006121B0">
        <w:trPr>
          <w:trHeight w:val="465"/>
        </w:trPr>
        <w:tc>
          <w:tcPr>
            <w:tcW w:w="3570" w:type="dxa"/>
            <w:tcBorders>
              <w:top w:val="single" w:sz="8" w:space="0" w:color="5B9BD5"/>
              <w:left w:val="single" w:sz="8" w:space="0" w:color="000000"/>
              <w:bottom w:val="single" w:sz="8" w:space="0" w:color="5B9BD5"/>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b/>
                <w:sz w:val="22"/>
                <w:szCs w:val="22"/>
              </w:rPr>
            </w:pPr>
            <w:r>
              <w:rPr>
                <w:rFonts w:ascii="Arial" w:eastAsia="Arial" w:hAnsi="Arial" w:cs="Arial"/>
                <w:b/>
                <w:sz w:val="22"/>
                <w:szCs w:val="22"/>
              </w:rPr>
              <w:t>Región</w:t>
            </w:r>
          </w:p>
        </w:tc>
        <w:tc>
          <w:tcPr>
            <w:tcW w:w="5265" w:type="dxa"/>
            <w:tcBorders>
              <w:top w:val="single" w:sz="8" w:space="0" w:color="5B9BD5"/>
              <w:left w:val="single" w:sz="8" w:space="0" w:color="000000"/>
              <w:bottom w:val="single" w:sz="8" w:space="0" w:color="5B9BD5"/>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b/>
                <w:sz w:val="22"/>
                <w:szCs w:val="22"/>
              </w:rPr>
            </w:pPr>
            <w:r>
              <w:rPr>
                <w:rFonts w:ascii="Arial" w:eastAsia="Arial" w:hAnsi="Arial" w:cs="Arial"/>
                <w:b/>
                <w:sz w:val="22"/>
                <w:szCs w:val="22"/>
              </w:rPr>
              <w:t>Criterio regional seleccionado</w:t>
            </w:r>
          </w:p>
        </w:tc>
      </w:tr>
      <w:tr w:rsidR="006121B0">
        <w:trPr>
          <w:trHeight w:val="465"/>
        </w:trPr>
        <w:tc>
          <w:tcPr>
            <w:tcW w:w="3570" w:type="dxa"/>
            <w:tcBorders>
              <w:top w:val="single" w:sz="8" w:space="0" w:color="5B9BD5"/>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2"/>
                <w:szCs w:val="22"/>
              </w:rPr>
            </w:pPr>
            <w:r>
              <w:rPr>
                <w:rFonts w:ascii="Arial" w:eastAsia="Arial" w:hAnsi="Arial" w:cs="Arial"/>
                <w:sz w:val="22"/>
                <w:szCs w:val="22"/>
              </w:rPr>
              <w:t>Arica y Parinacota</w:t>
            </w:r>
          </w:p>
        </w:tc>
        <w:tc>
          <w:tcPr>
            <w:tcW w:w="5265" w:type="dxa"/>
            <w:tcBorders>
              <w:top w:val="single" w:sz="8" w:space="0" w:color="5B9BD5"/>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Hogar unipersonal</w:t>
            </w:r>
          </w:p>
        </w:tc>
      </w:tr>
      <w:tr w:rsidR="006121B0">
        <w:trPr>
          <w:trHeight w:val="450"/>
        </w:trPr>
        <w:tc>
          <w:tcPr>
            <w:tcW w:w="3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2"/>
                <w:szCs w:val="22"/>
              </w:rPr>
            </w:pPr>
            <w:r>
              <w:rPr>
                <w:rFonts w:ascii="Arial" w:eastAsia="Arial" w:hAnsi="Arial" w:cs="Arial"/>
                <w:sz w:val="22"/>
                <w:szCs w:val="22"/>
              </w:rPr>
              <w:t>Tarapacá</w:t>
            </w:r>
          </w:p>
        </w:tc>
        <w:tc>
          <w:tcPr>
            <w:tcW w:w="5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Ruralidad</w:t>
            </w:r>
          </w:p>
        </w:tc>
      </w:tr>
      <w:tr w:rsidR="006121B0">
        <w:trPr>
          <w:trHeight w:val="450"/>
        </w:trPr>
        <w:tc>
          <w:tcPr>
            <w:tcW w:w="3570"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2"/>
                <w:szCs w:val="22"/>
              </w:rPr>
            </w:pPr>
            <w:r>
              <w:rPr>
                <w:rFonts w:ascii="Arial" w:eastAsia="Arial" w:hAnsi="Arial" w:cs="Arial"/>
                <w:sz w:val="22"/>
                <w:szCs w:val="22"/>
              </w:rPr>
              <w:t>Antofagasta</w:t>
            </w:r>
          </w:p>
        </w:tc>
        <w:tc>
          <w:tcPr>
            <w:tcW w:w="5265"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Ruralidad</w:t>
            </w:r>
          </w:p>
        </w:tc>
      </w:tr>
      <w:tr w:rsidR="006121B0">
        <w:trPr>
          <w:trHeight w:val="450"/>
        </w:trPr>
        <w:tc>
          <w:tcPr>
            <w:tcW w:w="3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2"/>
                <w:szCs w:val="22"/>
              </w:rPr>
            </w:pPr>
            <w:r>
              <w:rPr>
                <w:rFonts w:ascii="Arial" w:eastAsia="Arial" w:hAnsi="Arial" w:cs="Arial"/>
                <w:sz w:val="22"/>
                <w:szCs w:val="22"/>
              </w:rPr>
              <w:t>Atacama</w:t>
            </w:r>
          </w:p>
        </w:tc>
        <w:tc>
          <w:tcPr>
            <w:tcW w:w="5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Ruralidad</w:t>
            </w:r>
          </w:p>
        </w:tc>
      </w:tr>
      <w:tr w:rsidR="006121B0">
        <w:trPr>
          <w:trHeight w:val="720"/>
        </w:trPr>
        <w:tc>
          <w:tcPr>
            <w:tcW w:w="3570"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2"/>
                <w:szCs w:val="22"/>
              </w:rPr>
            </w:pPr>
            <w:r>
              <w:rPr>
                <w:rFonts w:ascii="Arial" w:eastAsia="Arial" w:hAnsi="Arial" w:cs="Arial"/>
                <w:sz w:val="22"/>
                <w:szCs w:val="22"/>
              </w:rPr>
              <w:t>Coquimbo</w:t>
            </w:r>
          </w:p>
        </w:tc>
        <w:tc>
          <w:tcPr>
            <w:tcW w:w="5265"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Comuna perteneciente a una de las áreas prioritarias de acción social (APAS)</w:t>
            </w:r>
          </w:p>
        </w:tc>
      </w:tr>
      <w:tr w:rsidR="006121B0">
        <w:trPr>
          <w:trHeight w:val="450"/>
        </w:trPr>
        <w:tc>
          <w:tcPr>
            <w:tcW w:w="3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2"/>
                <w:szCs w:val="22"/>
              </w:rPr>
            </w:pPr>
            <w:r>
              <w:rPr>
                <w:rFonts w:ascii="Arial" w:eastAsia="Arial" w:hAnsi="Arial" w:cs="Arial"/>
                <w:sz w:val="22"/>
                <w:szCs w:val="22"/>
              </w:rPr>
              <w:t>Valparaíso</w:t>
            </w:r>
          </w:p>
        </w:tc>
        <w:tc>
          <w:tcPr>
            <w:tcW w:w="5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Jefe/a de hogar</w:t>
            </w:r>
          </w:p>
        </w:tc>
      </w:tr>
      <w:tr w:rsidR="006121B0">
        <w:trPr>
          <w:trHeight w:val="450"/>
        </w:trPr>
        <w:tc>
          <w:tcPr>
            <w:tcW w:w="3570"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2"/>
                <w:szCs w:val="22"/>
              </w:rPr>
            </w:pPr>
            <w:r>
              <w:rPr>
                <w:rFonts w:ascii="Arial" w:eastAsia="Arial" w:hAnsi="Arial" w:cs="Arial"/>
                <w:sz w:val="22"/>
                <w:szCs w:val="22"/>
              </w:rPr>
              <w:t>Metropolitana</w:t>
            </w:r>
          </w:p>
        </w:tc>
        <w:tc>
          <w:tcPr>
            <w:tcW w:w="5265"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Hogar unipersonal</w:t>
            </w:r>
          </w:p>
        </w:tc>
      </w:tr>
      <w:tr w:rsidR="006121B0">
        <w:trPr>
          <w:trHeight w:val="450"/>
        </w:trPr>
        <w:tc>
          <w:tcPr>
            <w:tcW w:w="3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2"/>
                <w:szCs w:val="22"/>
              </w:rPr>
            </w:pPr>
            <w:r>
              <w:rPr>
                <w:rFonts w:ascii="Arial" w:eastAsia="Arial" w:hAnsi="Arial" w:cs="Arial"/>
                <w:sz w:val="22"/>
                <w:szCs w:val="22"/>
              </w:rPr>
              <w:t>O’Higgins</w:t>
            </w:r>
          </w:p>
        </w:tc>
        <w:tc>
          <w:tcPr>
            <w:tcW w:w="5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Jefe/a de hogar</w:t>
            </w:r>
          </w:p>
        </w:tc>
      </w:tr>
      <w:tr w:rsidR="006121B0">
        <w:trPr>
          <w:trHeight w:val="450"/>
        </w:trPr>
        <w:tc>
          <w:tcPr>
            <w:tcW w:w="3570"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2"/>
                <w:szCs w:val="22"/>
              </w:rPr>
            </w:pPr>
            <w:r>
              <w:rPr>
                <w:rFonts w:ascii="Arial" w:eastAsia="Arial" w:hAnsi="Arial" w:cs="Arial"/>
                <w:sz w:val="22"/>
                <w:szCs w:val="22"/>
              </w:rPr>
              <w:t>Maule</w:t>
            </w:r>
          </w:p>
        </w:tc>
        <w:tc>
          <w:tcPr>
            <w:tcW w:w="5265"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Ruralidad</w:t>
            </w:r>
          </w:p>
        </w:tc>
      </w:tr>
      <w:tr w:rsidR="006121B0">
        <w:trPr>
          <w:trHeight w:val="450"/>
        </w:trPr>
        <w:tc>
          <w:tcPr>
            <w:tcW w:w="3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2"/>
                <w:szCs w:val="22"/>
              </w:rPr>
            </w:pPr>
            <w:r>
              <w:rPr>
                <w:rFonts w:ascii="Arial" w:eastAsia="Arial" w:hAnsi="Arial" w:cs="Arial"/>
                <w:sz w:val="22"/>
                <w:szCs w:val="22"/>
              </w:rPr>
              <w:lastRenderedPageBreak/>
              <w:t>Ñuble</w:t>
            </w:r>
          </w:p>
        </w:tc>
        <w:tc>
          <w:tcPr>
            <w:tcW w:w="5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Ruralidad</w:t>
            </w:r>
          </w:p>
        </w:tc>
      </w:tr>
      <w:tr w:rsidR="006121B0">
        <w:trPr>
          <w:trHeight w:val="450"/>
        </w:trPr>
        <w:tc>
          <w:tcPr>
            <w:tcW w:w="3570"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2"/>
                <w:szCs w:val="22"/>
              </w:rPr>
            </w:pPr>
            <w:proofErr w:type="spellStart"/>
            <w:r>
              <w:rPr>
                <w:rFonts w:ascii="Arial" w:eastAsia="Arial" w:hAnsi="Arial" w:cs="Arial"/>
                <w:sz w:val="22"/>
                <w:szCs w:val="22"/>
              </w:rPr>
              <w:t>Bio</w:t>
            </w:r>
            <w:proofErr w:type="spellEnd"/>
            <w:r>
              <w:rPr>
                <w:rFonts w:ascii="Arial" w:eastAsia="Arial" w:hAnsi="Arial" w:cs="Arial"/>
                <w:sz w:val="22"/>
                <w:szCs w:val="22"/>
              </w:rPr>
              <w:t xml:space="preserve"> </w:t>
            </w:r>
            <w:proofErr w:type="spellStart"/>
            <w:r>
              <w:rPr>
                <w:rFonts w:ascii="Arial" w:eastAsia="Arial" w:hAnsi="Arial" w:cs="Arial"/>
                <w:sz w:val="22"/>
                <w:szCs w:val="22"/>
              </w:rPr>
              <w:t>Bío</w:t>
            </w:r>
            <w:proofErr w:type="spellEnd"/>
          </w:p>
        </w:tc>
        <w:tc>
          <w:tcPr>
            <w:tcW w:w="5265"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Jefe/a de hogar</w:t>
            </w:r>
          </w:p>
        </w:tc>
      </w:tr>
      <w:tr w:rsidR="006121B0">
        <w:trPr>
          <w:trHeight w:val="450"/>
        </w:trPr>
        <w:tc>
          <w:tcPr>
            <w:tcW w:w="3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2"/>
                <w:szCs w:val="22"/>
              </w:rPr>
            </w:pPr>
            <w:r>
              <w:rPr>
                <w:rFonts w:ascii="Arial" w:eastAsia="Arial" w:hAnsi="Arial" w:cs="Arial"/>
                <w:sz w:val="22"/>
                <w:szCs w:val="22"/>
              </w:rPr>
              <w:t>Araucanía</w:t>
            </w:r>
          </w:p>
        </w:tc>
        <w:tc>
          <w:tcPr>
            <w:tcW w:w="5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Ruralidad</w:t>
            </w:r>
          </w:p>
        </w:tc>
      </w:tr>
      <w:tr w:rsidR="006121B0">
        <w:trPr>
          <w:trHeight w:val="450"/>
        </w:trPr>
        <w:tc>
          <w:tcPr>
            <w:tcW w:w="3570"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2"/>
                <w:szCs w:val="22"/>
              </w:rPr>
            </w:pPr>
            <w:r>
              <w:rPr>
                <w:rFonts w:ascii="Arial" w:eastAsia="Arial" w:hAnsi="Arial" w:cs="Arial"/>
                <w:sz w:val="22"/>
                <w:szCs w:val="22"/>
              </w:rPr>
              <w:t>Los Ríos</w:t>
            </w:r>
          </w:p>
        </w:tc>
        <w:tc>
          <w:tcPr>
            <w:tcW w:w="5265"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Ruralidad</w:t>
            </w:r>
          </w:p>
        </w:tc>
      </w:tr>
      <w:tr w:rsidR="006121B0">
        <w:trPr>
          <w:trHeight w:val="450"/>
        </w:trPr>
        <w:tc>
          <w:tcPr>
            <w:tcW w:w="3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2"/>
                <w:szCs w:val="22"/>
              </w:rPr>
            </w:pPr>
            <w:r>
              <w:rPr>
                <w:rFonts w:ascii="Arial" w:eastAsia="Arial" w:hAnsi="Arial" w:cs="Arial"/>
                <w:sz w:val="22"/>
                <w:szCs w:val="22"/>
              </w:rPr>
              <w:t>Los Lagos</w:t>
            </w:r>
          </w:p>
        </w:tc>
        <w:tc>
          <w:tcPr>
            <w:tcW w:w="5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Ruralidad</w:t>
            </w:r>
          </w:p>
        </w:tc>
      </w:tr>
      <w:tr w:rsidR="006121B0">
        <w:trPr>
          <w:trHeight w:val="450"/>
        </w:trPr>
        <w:tc>
          <w:tcPr>
            <w:tcW w:w="3570"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2"/>
                <w:szCs w:val="22"/>
              </w:rPr>
            </w:pPr>
            <w:r>
              <w:rPr>
                <w:rFonts w:ascii="Arial" w:eastAsia="Arial" w:hAnsi="Arial" w:cs="Arial"/>
                <w:sz w:val="22"/>
                <w:szCs w:val="22"/>
              </w:rPr>
              <w:t>Aysén</w:t>
            </w:r>
          </w:p>
        </w:tc>
        <w:tc>
          <w:tcPr>
            <w:tcW w:w="5265"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Ruralidad</w:t>
            </w:r>
          </w:p>
        </w:tc>
      </w:tr>
      <w:tr w:rsidR="006121B0">
        <w:trPr>
          <w:trHeight w:val="450"/>
        </w:trPr>
        <w:tc>
          <w:tcPr>
            <w:tcW w:w="3570" w:type="dxa"/>
            <w:tcBorders>
              <w:top w:val="single" w:sz="8" w:space="0" w:color="000000"/>
              <w:left w:val="single" w:sz="8" w:space="0" w:color="000000"/>
              <w:bottom w:val="single" w:sz="8" w:space="0" w:color="5B9BD5"/>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2"/>
                <w:szCs w:val="22"/>
              </w:rPr>
            </w:pPr>
            <w:r>
              <w:rPr>
                <w:rFonts w:ascii="Arial" w:eastAsia="Arial" w:hAnsi="Arial" w:cs="Arial"/>
                <w:sz w:val="22"/>
                <w:szCs w:val="22"/>
              </w:rPr>
              <w:t>Magallanes</w:t>
            </w:r>
          </w:p>
        </w:tc>
        <w:tc>
          <w:tcPr>
            <w:tcW w:w="5265" w:type="dxa"/>
            <w:tcBorders>
              <w:top w:val="single" w:sz="8" w:space="0" w:color="000000"/>
              <w:left w:val="single" w:sz="8" w:space="0" w:color="000000"/>
              <w:bottom w:val="single" w:sz="8" w:space="0" w:color="5B9BD5"/>
              <w:right w:val="single" w:sz="8" w:space="0" w:color="000000"/>
            </w:tcBorders>
            <w:tcMar>
              <w:top w:w="100" w:type="dxa"/>
              <w:left w:w="100" w:type="dxa"/>
              <w:bottom w:w="100" w:type="dxa"/>
              <w:right w:w="100" w:type="dxa"/>
            </w:tcMar>
          </w:tcPr>
          <w:p w:rsidR="006121B0" w:rsidRDefault="00EA2FC6">
            <w:pPr>
              <w:keepNext/>
              <w:keepLines/>
              <w:spacing w:line="276" w:lineRule="auto"/>
              <w:jc w:val="both"/>
              <w:rPr>
                <w:rFonts w:ascii="Arial" w:eastAsia="Arial" w:hAnsi="Arial" w:cs="Arial"/>
                <w:sz w:val="24"/>
                <w:szCs w:val="24"/>
              </w:rPr>
            </w:pPr>
            <w:r>
              <w:rPr>
                <w:rFonts w:ascii="Arial" w:eastAsia="Arial" w:hAnsi="Arial" w:cs="Arial"/>
                <w:sz w:val="24"/>
                <w:szCs w:val="24"/>
              </w:rPr>
              <w:t>Jefe/a de hogar</w:t>
            </w:r>
          </w:p>
        </w:tc>
      </w:tr>
    </w:tbl>
    <w:p w:rsidR="006121B0" w:rsidRDefault="00EA2FC6">
      <w:pPr>
        <w:keepNext/>
        <w:keepLines/>
        <w:numPr>
          <w:ilvl w:val="0"/>
          <w:numId w:val="2"/>
        </w:numPr>
        <w:spacing w:before="200"/>
        <w:jc w:val="both"/>
        <w:rPr>
          <w:sz w:val="24"/>
          <w:szCs w:val="24"/>
          <w:highlight w:val="white"/>
        </w:rPr>
      </w:pPr>
      <w:r>
        <w:rPr>
          <w:rFonts w:ascii="Arial" w:eastAsia="Arial" w:hAnsi="Arial" w:cs="Arial"/>
          <w:b/>
          <w:sz w:val="24"/>
          <w:szCs w:val="24"/>
          <w:highlight w:val="white"/>
        </w:rPr>
        <w:t>¿Cómo puedo conocer el puntaje de admisibilidad de mi postulación?</w:t>
      </w:r>
    </w:p>
    <w:p w:rsidR="006121B0" w:rsidRDefault="00EA2FC6">
      <w:pPr>
        <w:keepNext/>
        <w:keepLines/>
        <w:spacing w:before="200"/>
        <w:jc w:val="both"/>
        <w:rPr>
          <w:rFonts w:ascii="Arial" w:eastAsia="Arial" w:hAnsi="Arial" w:cs="Arial"/>
          <w:sz w:val="24"/>
          <w:szCs w:val="24"/>
          <w:highlight w:val="white"/>
        </w:rPr>
      </w:pPr>
      <w:r>
        <w:rPr>
          <w:rFonts w:ascii="Arial" w:eastAsia="Arial" w:hAnsi="Arial" w:cs="Arial"/>
          <w:sz w:val="24"/>
          <w:szCs w:val="24"/>
          <w:highlight w:val="white"/>
        </w:rPr>
        <w:t>Podrá conocer el puntaje de admisibilidad de su postulación directamente en la plataforma de postulación.</w:t>
      </w:r>
      <w:r>
        <w:rPr>
          <w:rFonts w:ascii="Arial" w:eastAsia="Arial" w:hAnsi="Arial" w:cs="Arial"/>
          <w:sz w:val="24"/>
          <w:szCs w:val="24"/>
          <w:highlight w:val="white"/>
        </w:rPr>
        <w:tab/>
      </w:r>
    </w:p>
    <w:p w:rsidR="006121B0" w:rsidRDefault="00EA2FC6">
      <w:pPr>
        <w:keepNext/>
        <w:keepLines/>
        <w:numPr>
          <w:ilvl w:val="0"/>
          <w:numId w:val="2"/>
        </w:numPr>
        <w:spacing w:before="200"/>
        <w:jc w:val="both"/>
        <w:rPr>
          <w:sz w:val="24"/>
          <w:szCs w:val="24"/>
          <w:highlight w:val="white"/>
        </w:rPr>
      </w:pPr>
      <w:r>
        <w:rPr>
          <w:rFonts w:ascii="Arial" w:eastAsia="Arial" w:hAnsi="Arial" w:cs="Arial"/>
          <w:b/>
          <w:sz w:val="24"/>
          <w:szCs w:val="24"/>
          <w:highlight w:val="white"/>
        </w:rPr>
        <w:t>¿Cómo puedo conocer el puntaje de corte de las postulaciones de mi región?</w:t>
      </w:r>
    </w:p>
    <w:p w:rsidR="006121B0" w:rsidRDefault="00EA2FC6">
      <w:pPr>
        <w:keepNext/>
        <w:keepLines/>
        <w:spacing w:before="200"/>
        <w:jc w:val="both"/>
        <w:rPr>
          <w:rFonts w:ascii="Arial" w:eastAsia="Arial" w:hAnsi="Arial" w:cs="Arial"/>
          <w:sz w:val="24"/>
          <w:szCs w:val="24"/>
          <w:highlight w:val="white"/>
        </w:rPr>
      </w:pPr>
      <w:r>
        <w:rPr>
          <w:rFonts w:ascii="Arial" w:eastAsia="Arial" w:hAnsi="Arial" w:cs="Arial"/>
          <w:sz w:val="24"/>
          <w:szCs w:val="24"/>
          <w:highlight w:val="white"/>
        </w:rPr>
        <w:t>Podrá conocer el puntaje de corte de admisibilidad de postulaciones de su región directamente en la plataforma de postulación.</w:t>
      </w:r>
    </w:p>
    <w:p w:rsidR="006121B0" w:rsidRDefault="006121B0">
      <w:pPr>
        <w:keepNext/>
        <w:keepLines/>
        <w:spacing w:before="200"/>
        <w:ind w:left="720"/>
        <w:jc w:val="both"/>
        <w:rPr>
          <w:rFonts w:ascii="Arial" w:eastAsia="Arial" w:hAnsi="Arial" w:cs="Arial"/>
          <w:color w:val="FFFFFF"/>
          <w:sz w:val="24"/>
          <w:szCs w:val="24"/>
          <w:highlight w:val="white"/>
        </w:rPr>
      </w:pPr>
    </w:p>
    <w:p w:rsidR="006121B0" w:rsidRDefault="00EA2FC6">
      <w:pPr>
        <w:keepNext/>
        <w:keepLines/>
        <w:numPr>
          <w:ilvl w:val="0"/>
          <w:numId w:val="2"/>
        </w:numPr>
        <w:jc w:val="both"/>
        <w:rPr>
          <w:sz w:val="24"/>
          <w:szCs w:val="24"/>
          <w:highlight w:val="white"/>
        </w:rPr>
      </w:pPr>
      <w:r>
        <w:rPr>
          <w:rFonts w:ascii="Arial" w:eastAsia="Arial" w:hAnsi="Arial" w:cs="Arial"/>
          <w:b/>
          <w:sz w:val="24"/>
          <w:szCs w:val="24"/>
          <w:highlight w:val="white"/>
        </w:rPr>
        <w:t>Si mi postulación es admisible, ¿Qué significa?</w:t>
      </w:r>
    </w:p>
    <w:p w:rsidR="006121B0" w:rsidRDefault="00EA2FC6">
      <w:pPr>
        <w:keepNext/>
        <w:keepLines/>
        <w:spacing w:before="200"/>
        <w:jc w:val="both"/>
        <w:rPr>
          <w:rFonts w:ascii="Arial" w:eastAsia="Arial" w:hAnsi="Arial" w:cs="Arial"/>
          <w:sz w:val="24"/>
          <w:szCs w:val="24"/>
          <w:highlight w:val="white"/>
        </w:rPr>
      </w:pPr>
      <w:r>
        <w:rPr>
          <w:rFonts w:ascii="Arial" w:eastAsia="Arial" w:hAnsi="Arial" w:cs="Arial"/>
          <w:sz w:val="24"/>
          <w:szCs w:val="24"/>
          <w:highlight w:val="white"/>
        </w:rPr>
        <w:t>Significa que la postulación cumple con los criterios mínimos de aceptación y de puntaje según el presupuesto regional, por lo que será derivada a una evaluación administrativa.</w:t>
      </w:r>
    </w:p>
    <w:p w:rsidR="006121B0" w:rsidRDefault="00EA2FC6">
      <w:pPr>
        <w:keepNext/>
        <w:keepLines/>
        <w:numPr>
          <w:ilvl w:val="0"/>
          <w:numId w:val="2"/>
        </w:numPr>
        <w:spacing w:before="200"/>
        <w:jc w:val="both"/>
        <w:rPr>
          <w:sz w:val="24"/>
          <w:szCs w:val="24"/>
          <w:highlight w:val="white"/>
        </w:rPr>
      </w:pPr>
      <w:r>
        <w:rPr>
          <w:rFonts w:ascii="Arial" w:eastAsia="Arial" w:hAnsi="Arial" w:cs="Arial"/>
          <w:b/>
          <w:sz w:val="24"/>
          <w:szCs w:val="24"/>
          <w:highlight w:val="white"/>
        </w:rPr>
        <w:t>¿Que mi postulación sea admisible garantiza su financiamiento?</w:t>
      </w:r>
    </w:p>
    <w:p w:rsidR="006121B0" w:rsidRDefault="00EA2FC6">
      <w:pPr>
        <w:keepNext/>
        <w:keepLines/>
        <w:spacing w:before="200"/>
        <w:jc w:val="both"/>
        <w:rPr>
          <w:rFonts w:ascii="Arial" w:eastAsia="Arial" w:hAnsi="Arial" w:cs="Arial"/>
          <w:sz w:val="24"/>
          <w:szCs w:val="24"/>
          <w:highlight w:val="white"/>
        </w:rPr>
      </w:pPr>
      <w:r>
        <w:rPr>
          <w:rFonts w:ascii="Arial" w:eastAsia="Arial" w:hAnsi="Arial" w:cs="Arial"/>
          <w:sz w:val="24"/>
          <w:szCs w:val="24"/>
          <w:highlight w:val="white"/>
        </w:rPr>
        <w:t>No, ya que su postulación aún debe ser aprobada en el proceso de evaluación administrativa.</w:t>
      </w:r>
    </w:p>
    <w:p w:rsidR="006121B0" w:rsidRDefault="00EA2FC6">
      <w:pPr>
        <w:keepNext/>
        <w:keepLines/>
        <w:numPr>
          <w:ilvl w:val="0"/>
          <w:numId w:val="2"/>
        </w:numPr>
        <w:spacing w:before="200"/>
        <w:jc w:val="both"/>
        <w:rPr>
          <w:sz w:val="24"/>
          <w:szCs w:val="24"/>
          <w:highlight w:val="white"/>
        </w:rPr>
      </w:pPr>
      <w:r>
        <w:rPr>
          <w:rFonts w:ascii="Arial" w:eastAsia="Arial" w:hAnsi="Arial" w:cs="Arial"/>
          <w:b/>
          <w:sz w:val="24"/>
          <w:szCs w:val="24"/>
          <w:highlight w:val="white"/>
        </w:rPr>
        <w:t>¿Qué significa si mi postulación fue declarada inadmisible?</w:t>
      </w:r>
    </w:p>
    <w:p w:rsidR="006121B0" w:rsidRDefault="00EA2FC6">
      <w:pPr>
        <w:keepNext/>
        <w:keepLines/>
        <w:spacing w:before="200"/>
        <w:jc w:val="both"/>
        <w:rPr>
          <w:rFonts w:ascii="Arial" w:eastAsia="Arial" w:hAnsi="Arial" w:cs="Arial"/>
          <w:sz w:val="24"/>
          <w:szCs w:val="24"/>
          <w:highlight w:val="white"/>
        </w:rPr>
      </w:pPr>
      <w:r>
        <w:rPr>
          <w:rFonts w:ascii="Arial" w:eastAsia="Arial" w:hAnsi="Arial" w:cs="Arial"/>
          <w:sz w:val="24"/>
          <w:szCs w:val="24"/>
          <w:highlight w:val="white"/>
        </w:rPr>
        <w:t xml:space="preserve">Que la postulación a una o más Ayudas Técnicas no accederá a la etapa de evaluación administrativa y por lo tanto no será financiada, por la o las razones indicadas a través de correo electrónico. </w:t>
      </w:r>
    </w:p>
    <w:p w:rsidR="006121B0" w:rsidRDefault="00EA2FC6">
      <w:pPr>
        <w:keepNext/>
        <w:keepLines/>
        <w:numPr>
          <w:ilvl w:val="0"/>
          <w:numId w:val="2"/>
        </w:numPr>
        <w:spacing w:before="200"/>
        <w:jc w:val="both"/>
        <w:rPr>
          <w:sz w:val="24"/>
          <w:szCs w:val="24"/>
          <w:highlight w:val="white"/>
        </w:rPr>
      </w:pPr>
      <w:r>
        <w:rPr>
          <w:rFonts w:ascii="Arial" w:eastAsia="Arial" w:hAnsi="Arial" w:cs="Arial"/>
          <w:b/>
          <w:sz w:val="24"/>
          <w:szCs w:val="24"/>
          <w:highlight w:val="white"/>
        </w:rPr>
        <w:t xml:space="preserve"> Mi postulación es inadmisible, ¿Queda en una lista de espera?</w:t>
      </w:r>
    </w:p>
    <w:p w:rsidR="006121B0" w:rsidRDefault="00EA2FC6">
      <w:pPr>
        <w:keepNext/>
        <w:keepLines/>
        <w:spacing w:before="200"/>
        <w:jc w:val="both"/>
        <w:rPr>
          <w:rFonts w:ascii="Arial" w:eastAsia="Arial" w:hAnsi="Arial" w:cs="Arial"/>
          <w:sz w:val="24"/>
          <w:szCs w:val="24"/>
          <w:highlight w:val="white"/>
        </w:rPr>
      </w:pPr>
      <w:r>
        <w:rPr>
          <w:rFonts w:ascii="Arial" w:eastAsia="Arial" w:hAnsi="Arial" w:cs="Arial"/>
          <w:sz w:val="24"/>
          <w:szCs w:val="24"/>
          <w:highlight w:val="white"/>
        </w:rPr>
        <w:t>No, si su caso resulta inadmisible no quedará en una lista de espera. Sólo serán financiados los casos que SENADIS declare admisibles y luego sean aprobados en su evaluación administrativa.</w:t>
      </w:r>
    </w:p>
    <w:p w:rsidR="006121B0" w:rsidRDefault="00EA2FC6">
      <w:pPr>
        <w:keepNext/>
        <w:keepLines/>
        <w:numPr>
          <w:ilvl w:val="0"/>
          <w:numId w:val="2"/>
        </w:numPr>
        <w:spacing w:before="200"/>
        <w:jc w:val="both"/>
        <w:rPr>
          <w:sz w:val="24"/>
          <w:szCs w:val="24"/>
          <w:highlight w:val="white"/>
        </w:rPr>
      </w:pPr>
      <w:r>
        <w:rPr>
          <w:rFonts w:ascii="Arial" w:eastAsia="Arial" w:hAnsi="Arial" w:cs="Arial"/>
          <w:b/>
          <w:sz w:val="24"/>
          <w:szCs w:val="24"/>
          <w:highlight w:val="white"/>
        </w:rPr>
        <w:t>Si mi postulación ha sido declarada inadmisible, ¿Puedo apelar?</w:t>
      </w:r>
    </w:p>
    <w:p w:rsidR="006121B0" w:rsidRDefault="00EA2FC6">
      <w:pPr>
        <w:keepNext/>
        <w:keepLines/>
        <w:spacing w:before="200"/>
        <w:jc w:val="both"/>
        <w:rPr>
          <w:rFonts w:ascii="Arial" w:eastAsia="Arial" w:hAnsi="Arial" w:cs="Arial"/>
          <w:sz w:val="24"/>
          <w:szCs w:val="24"/>
          <w:highlight w:val="white"/>
        </w:rPr>
      </w:pPr>
      <w:r>
        <w:rPr>
          <w:rFonts w:ascii="Arial" w:eastAsia="Arial" w:hAnsi="Arial" w:cs="Arial"/>
          <w:sz w:val="24"/>
          <w:szCs w:val="24"/>
        </w:rPr>
        <w:t xml:space="preserve">Puede contactar a SENADIS si tiene dudas respecto del resultado de admisibilidad. Todas las consultas, informaciones o reclamos deben ser gestionadas a </w:t>
      </w:r>
      <w:proofErr w:type="spellStart"/>
      <w:r>
        <w:rPr>
          <w:rFonts w:ascii="Arial" w:eastAsia="Arial" w:hAnsi="Arial" w:cs="Arial"/>
          <w:sz w:val="24"/>
          <w:szCs w:val="24"/>
        </w:rPr>
        <w:t>través</w:t>
      </w:r>
      <w:proofErr w:type="spellEnd"/>
      <w:r>
        <w:rPr>
          <w:rFonts w:ascii="Arial" w:eastAsia="Arial" w:hAnsi="Arial" w:cs="Arial"/>
          <w:sz w:val="24"/>
          <w:szCs w:val="24"/>
        </w:rPr>
        <w:t xml:space="preserve"> de la </w:t>
      </w:r>
      <w:proofErr w:type="spellStart"/>
      <w:r>
        <w:rPr>
          <w:rFonts w:ascii="Arial" w:eastAsia="Arial" w:hAnsi="Arial" w:cs="Arial"/>
          <w:sz w:val="24"/>
          <w:szCs w:val="24"/>
        </w:rPr>
        <w:t>sección</w:t>
      </w:r>
      <w:proofErr w:type="spellEnd"/>
      <w:r>
        <w:rPr>
          <w:rFonts w:ascii="Arial" w:eastAsia="Arial" w:hAnsi="Arial" w:cs="Arial"/>
          <w:sz w:val="24"/>
          <w:szCs w:val="24"/>
        </w:rPr>
        <w:t xml:space="preserve"> “</w:t>
      </w:r>
      <w:proofErr w:type="spellStart"/>
      <w:r>
        <w:rPr>
          <w:rFonts w:ascii="Arial" w:eastAsia="Arial" w:hAnsi="Arial" w:cs="Arial"/>
          <w:sz w:val="24"/>
          <w:szCs w:val="24"/>
        </w:rPr>
        <w:t>Contáctenos</w:t>
      </w:r>
      <w:proofErr w:type="spellEnd"/>
      <w:r>
        <w:rPr>
          <w:rFonts w:ascii="Arial" w:eastAsia="Arial" w:hAnsi="Arial" w:cs="Arial"/>
          <w:sz w:val="24"/>
          <w:szCs w:val="24"/>
        </w:rPr>
        <w:t xml:space="preserve">” de SENADIS, disponible en el sitio web institucional: </w:t>
      </w:r>
      <w:hyperlink r:id="rId9">
        <w:r>
          <w:rPr>
            <w:rFonts w:ascii="Arial" w:eastAsia="Arial" w:hAnsi="Arial" w:cs="Arial"/>
            <w:color w:val="0000FF"/>
            <w:sz w:val="24"/>
            <w:szCs w:val="24"/>
            <w:u w:val="single"/>
          </w:rPr>
          <w:t>http://contactenos.senadis.cl/</w:t>
        </w:r>
      </w:hyperlink>
      <w:r>
        <w:rPr>
          <w:rFonts w:ascii="Arial" w:eastAsia="Arial" w:hAnsi="Arial" w:cs="Arial"/>
          <w:sz w:val="24"/>
          <w:szCs w:val="24"/>
        </w:rPr>
        <w:t xml:space="preserve"> , para su debida </w:t>
      </w:r>
      <w:proofErr w:type="spellStart"/>
      <w:r>
        <w:rPr>
          <w:rFonts w:ascii="Arial" w:eastAsia="Arial" w:hAnsi="Arial" w:cs="Arial"/>
          <w:sz w:val="24"/>
          <w:szCs w:val="24"/>
        </w:rPr>
        <w:t>identificación</w:t>
      </w:r>
      <w:proofErr w:type="spellEnd"/>
      <w:r>
        <w:rPr>
          <w:rFonts w:ascii="Arial" w:eastAsia="Arial" w:hAnsi="Arial" w:cs="Arial"/>
          <w:sz w:val="24"/>
          <w:szCs w:val="24"/>
        </w:rPr>
        <w:t xml:space="preserve"> y respaldo.</w:t>
      </w:r>
    </w:p>
    <w:p w:rsidR="006121B0" w:rsidRDefault="00EA2FC6">
      <w:pPr>
        <w:keepNext/>
        <w:keepLines/>
        <w:numPr>
          <w:ilvl w:val="0"/>
          <w:numId w:val="2"/>
        </w:numPr>
        <w:pBdr>
          <w:top w:val="nil"/>
          <w:left w:val="nil"/>
          <w:bottom w:val="nil"/>
          <w:right w:val="nil"/>
          <w:between w:val="nil"/>
        </w:pBdr>
        <w:spacing w:before="200"/>
        <w:jc w:val="both"/>
        <w:rPr>
          <w:color w:val="000000"/>
          <w:sz w:val="24"/>
          <w:szCs w:val="24"/>
          <w:highlight w:val="white"/>
        </w:rPr>
      </w:pPr>
      <w:r>
        <w:rPr>
          <w:rFonts w:ascii="Arial" w:eastAsia="Arial" w:hAnsi="Arial" w:cs="Arial"/>
          <w:b/>
          <w:color w:val="000000"/>
          <w:sz w:val="24"/>
          <w:szCs w:val="24"/>
          <w:highlight w:val="white"/>
        </w:rPr>
        <w:lastRenderedPageBreak/>
        <w:t>¿Puedo postular a otros programas de SENADIS, si fui declarado inadmisible en el Programa de Ayudas Técnicas?</w:t>
      </w:r>
    </w:p>
    <w:p w:rsidR="006121B0" w:rsidRDefault="00EA2FC6">
      <w:pPr>
        <w:keepNext/>
        <w:keepLines/>
        <w:spacing w:before="200"/>
        <w:jc w:val="both"/>
        <w:rPr>
          <w:rFonts w:ascii="Arial" w:eastAsia="Arial" w:hAnsi="Arial" w:cs="Arial"/>
          <w:sz w:val="24"/>
          <w:szCs w:val="24"/>
          <w:highlight w:val="white"/>
        </w:rPr>
      </w:pPr>
      <w:r>
        <w:rPr>
          <w:rFonts w:ascii="Arial" w:eastAsia="Arial" w:hAnsi="Arial" w:cs="Arial"/>
          <w:sz w:val="24"/>
          <w:szCs w:val="24"/>
          <w:highlight w:val="white"/>
        </w:rPr>
        <w:t>Podrá postular a otros programas de SENADIS, si cumple con los requisitos que éstos soliciten, como en el caso del Programa De Apoyo a Estudiantes con Discapacidad.</w:t>
      </w:r>
    </w:p>
    <w:p w:rsidR="006121B0" w:rsidRDefault="00EA2FC6">
      <w:pPr>
        <w:keepNext/>
        <w:keepLines/>
        <w:numPr>
          <w:ilvl w:val="0"/>
          <w:numId w:val="2"/>
        </w:numPr>
        <w:pBdr>
          <w:top w:val="nil"/>
          <w:left w:val="nil"/>
          <w:bottom w:val="nil"/>
          <w:right w:val="nil"/>
          <w:between w:val="nil"/>
        </w:pBdr>
        <w:spacing w:before="200"/>
        <w:jc w:val="both"/>
        <w:rPr>
          <w:color w:val="000000"/>
          <w:sz w:val="24"/>
          <w:szCs w:val="24"/>
        </w:rPr>
      </w:pPr>
      <w:r>
        <w:rPr>
          <w:rFonts w:ascii="Arial" w:eastAsia="Arial" w:hAnsi="Arial" w:cs="Arial"/>
          <w:b/>
          <w:color w:val="000000"/>
          <w:sz w:val="24"/>
          <w:szCs w:val="24"/>
          <w:highlight w:val="white"/>
        </w:rPr>
        <w:t xml:space="preserve">¿Cuál es el plazo de respuesta a las consultas y reclamos ingresados a través de </w:t>
      </w:r>
      <w:hyperlink r:id="rId10">
        <w:r>
          <w:rPr>
            <w:rFonts w:ascii="Arial" w:eastAsia="Arial" w:hAnsi="Arial" w:cs="Arial"/>
            <w:b/>
            <w:color w:val="0000FF"/>
            <w:sz w:val="24"/>
            <w:szCs w:val="24"/>
            <w:u w:val="single"/>
          </w:rPr>
          <w:t>http://contactenos.senadis.cl/</w:t>
        </w:r>
      </w:hyperlink>
      <w:r>
        <w:rPr>
          <w:rFonts w:ascii="Arial" w:eastAsia="Arial" w:hAnsi="Arial" w:cs="Arial"/>
          <w:b/>
          <w:color w:val="000000"/>
          <w:sz w:val="24"/>
          <w:szCs w:val="24"/>
        </w:rPr>
        <w:t xml:space="preserve"> o por vía telefónica en la Dirección Regional respectiva?</w:t>
      </w:r>
    </w:p>
    <w:p w:rsidR="006121B0" w:rsidRDefault="00EA2FC6" w:rsidP="0014489A">
      <w:pPr>
        <w:keepNext/>
        <w:keepLines/>
        <w:spacing w:before="200"/>
        <w:ind w:left="65"/>
        <w:jc w:val="both"/>
        <w:rPr>
          <w:rFonts w:ascii="Arial" w:eastAsia="Arial" w:hAnsi="Arial" w:cs="Arial"/>
          <w:sz w:val="24"/>
          <w:szCs w:val="24"/>
          <w:highlight w:val="white"/>
        </w:rPr>
      </w:pPr>
      <w:r>
        <w:rPr>
          <w:rFonts w:ascii="Arial" w:eastAsia="Arial" w:hAnsi="Arial" w:cs="Arial"/>
          <w:sz w:val="24"/>
          <w:szCs w:val="24"/>
          <w:highlight w:val="white"/>
        </w:rPr>
        <w:t xml:space="preserve">El plazo de respuesta para las consultas es de 20 días hábiles y para los reclamos el plazo es de 10 días hábiles. </w:t>
      </w:r>
    </w:p>
    <w:p w:rsidR="006121B0" w:rsidRDefault="00EA2FC6">
      <w:pPr>
        <w:keepNext/>
        <w:keepLines/>
        <w:numPr>
          <w:ilvl w:val="0"/>
          <w:numId w:val="2"/>
        </w:numPr>
        <w:pBdr>
          <w:top w:val="nil"/>
          <w:left w:val="nil"/>
          <w:bottom w:val="nil"/>
          <w:right w:val="nil"/>
          <w:between w:val="nil"/>
        </w:pBdr>
        <w:spacing w:before="200"/>
        <w:jc w:val="both"/>
        <w:rPr>
          <w:color w:val="000000"/>
          <w:sz w:val="24"/>
          <w:szCs w:val="24"/>
          <w:highlight w:val="white"/>
        </w:rPr>
      </w:pPr>
      <w:r>
        <w:rPr>
          <w:rFonts w:ascii="Arial" w:eastAsia="Arial" w:hAnsi="Arial" w:cs="Arial"/>
          <w:b/>
          <w:color w:val="000000"/>
          <w:sz w:val="24"/>
          <w:szCs w:val="24"/>
          <w:highlight w:val="white"/>
        </w:rPr>
        <w:t xml:space="preserve">¿Cuáles son las etapas posteriores al proceso de admisibilidad? </w:t>
      </w:r>
    </w:p>
    <w:p w:rsidR="006121B0" w:rsidRDefault="00EA2FC6">
      <w:pPr>
        <w:keepNext/>
        <w:keepLines/>
        <w:pBdr>
          <w:top w:val="nil"/>
          <w:left w:val="nil"/>
          <w:bottom w:val="nil"/>
          <w:right w:val="nil"/>
          <w:between w:val="nil"/>
        </w:pBdr>
        <w:spacing w:before="20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Si tu postulación fue admisible, ahora se inicia un proceso de evaluación administrativa y de ser necesario te contactaremos por correo electrónico. </w:t>
      </w:r>
      <w:r>
        <w:rPr>
          <w:rFonts w:ascii="Arial" w:eastAsia="Arial" w:hAnsi="Arial" w:cs="Arial"/>
          <w:sz w:val="24"/>
          <w:szCs w:val="24"/>
          <w:highlight w:val="white"/>
        </w:rPr>
        <w:t xml:space="preserve">A todos quienes pasen la etapa de evaluación administrativa se les solicitará una dirección de entrega, con lo cual se dará por aprobada la solicitud y se dará paso al proceso de adquisición y entrega de la ayuda técnica en el lugar señalado.   </w:t>
      </w:r>
    </w:p>
    <w:p w:rsidR="006121B0" w:rsidRDefault="006121B0">
      <w:pPr>
        <w:keepNext/>
        <w:keepLines/>
        <w:spacing w:before="200"/>
        <w:ind w:left="425"/>
        <w:jc w:val="both"/>
        <w:rPr>
          <w:rFonts w:ascii="Arial" w:eastAsia="Arial" w:hAnsi="Arial" w:cs="Arial"/>
          <w:sz w:val="24"/>
          <w:szCs w:val="24"/>
          <w:highlight w:val="white"/>
        </w:rPr>
      </w:pPr>
    </w:p>
    <w:sectPr w:rsidR="006121B0">
      <w:footerReference w:type="default" r:id="rId11"/>
      <w:pgSz w:w="12240" w:h="18720"/>
      <w:pgMar w:top="1985" w:right="1134"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5B3" w:rsidRDefault="00FB55B3">
      <w:r>
        <w:separator/>
      </w:r>
    </w:p>
  </w:endnote>
  <w:endnote w:type="continuationSeparator" w:id="0">
    <w:p w:rsidR="00FB55B3" w:rsidRDefault="00FB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1B0" w:rsidRDefault="00EA2FC6">
    <w:pPr>
      <w:pBdr>
        <w:top w:val="nil"/>
        <w:left w:val="nil"/>
        <w:bottom w:val="nil"/>
        <w:right w:val="nil"/>
        <w:between w:val="nil"/>
      </w:pBdr>
      <w:rPr>
        <w:color w:val="000000"/>
      </w:rPr>
    </w:pPr>
    <w:r>
      <w:rPr>
        <w:color w:val="000000"/>
      </w:rPr>
      <w:tab/>
    </w:r>
  </w:p>
  <w:p w:rsidR="006121B0" w:rsidRDefault="006121B0">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5B3" w:rsidRDefault="00FB55B3">
      <w:r>
        <w:separator/>
      </w:r>
    </w:p>
  </w:footnote>
  <w:footnote w:type="continuationSeparator" w:id="0">
    <w:p w:rsidR="00FB55B3" w:rsidRDefault="00FB55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20617"/>
    <w:multiLevelType w:val="multilevel"/>
    <w:tmpl w:val="B7468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047D5A"/>
    <w:multiLevelType w:val="multilevel"/>
    <w:tmpl w:val="90E04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C60D54"/>
    <w:multiLevelType w:val="multilevel"/>
    <w:tmpl w:val="2326DF8A"/>
    <w:lvl w:ilvl="0">
      <w:start w:val="1"/>
      <w:numFmt w:val="decimal"/>
      <w:lvlText w:val="%1."/>
      <w:lvlJc w:val="left"/>
      <w:pPr>
        <w:ind w:left="425" w:hanging="360"/>
      </w:pPr>
      <w:rPr>
        <w:rFonts w:ascii="Arial" w:eastAsia="Arial" w:hAnsi="Arial" w:cs="Arial"/>
        <w:b/>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B0"/>
    <w:rsid w:val="0001174C"/>
    <w:rsid w:val="0014489A"/>
    <w:rsid w:val="006121B0"/>
    <w:rsid w:val="00EA2FC6"/>
    <w:rsid w:val="00F65CC7"/>
    <w:rsid w:val="00FB55B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735D46-5DF9-492C-AA43-3C555F5F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ind w:left="720" w:hanging="360"/>
      <w:outlineLvl w:val="0"/>
    </w:pPr>
    <w:rPr>
      <w:rFonts w:ascii="Calibri" w:eastAsia="Calibri" w:hAnsi="Calibri" w:cs="Calibri"/>
      <w:b/>
      <w:sz w:val="28"/>
      <w:szCs w:val="28"/>
    </w:rPr>
  </w:style>
  <w:style w:type="paragraph" w:styleId="Ttulo2">
    <w:name w:val="heading 2"/>
    <w:basedOn w:val="Normal"/>
    <w:next w:val="Normal"/>
    <w:pPr>
      <w:keepNext/>
      <w:keepLines/>
      <w:spacing w:line="276" w:lineRule="auto"/>
      <w:ind w:firstLine="720"/>
      <w:jc w:val="both"/>
      <w:outlineLvl w:val="1"/>
    </w:pPr>
    <w:rPr>
      <w:rFonts w:ascii="Calibri" w:eastAsia="Calibri" w:hAnsi="Calibri" w:cs="Calibri"/>
      <w:b/>
      <w:sz w:val="24"/>
      <w:szCs w:val="24"/>
    </w:rPr>
  </w:style>
  <w:style w:type="paragraph" w:styleId="Ttulo3">
    <w:name w:val="heading 3"/>
    <w:basedOn w:val="Normal"/>
    <w:next w:val="Normal"/>
    <w:pPr>
      <w:keepNext/>
      <w:keepLines/>
      <w:spacing w:line="276" w:lineRule="auto"/>
      <w:ind w:left="1440" w:hanging="360"/>
      <w:jc w:val="both"/>
      <w:outlineLvl w:val="2"/>
    </w:pPr>
    <w:rPr>
      <w:rFonts w:ascii="Calibri" w:eastAsia="Calibri" w:hAnsi="Calibri" w:cs="Calibri"/>
      <w:sz w:val="24"/>
      <w:szCs w:val="24"/>
      <w:u w:val="single"/>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line="276" w:lineRule="auto"/>
      <w:ind w:left="720" w:hanging="360"/>
    </w:pPr>
    <w:rPr>
      <w:rFonts w:ascii="Calibri" w:eastAsia="Calibri" w:hAnsi="Calibri" w:cs="Calibri"/>
      <w:b/>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14489A"/>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8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ontactenos.senadis.cl/" TargetMode="External"/><Relationship Id="rId4" Type="http://schemas.openxmlformats.org/officeDocument/2006/relationships/webSettings" Target="webSettings.xml"/><Relationship Id="rId9" Type="http://schemas.openxmlformats.org/officeDocument/2006/relationships/hyperlink" Target="http://contactenos.senadis.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1227</Words>
  <Characters>6753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Isabel Ojeda Baeza</cp:lastModifiedBy>
  <cp:revision>2</cp:revision>
  <dcterms:created xsi:type="dcterms:W3CDTF">2020-05-29T20:24:00Z</dcterms:created>
  <dcterms:modified xsi:type="dcterms:W3CDTF">2020-05-29T20:24:00Z</dcterms:modified>
</cp:coreProperties>
</file>