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PROFESIONAL GESTIÓN ADMINISTRATIVA PARA EL DEPARTAMENTO DE AYUDAS TÉCNICAS Y TECNOLOGÍAS DE APOYO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Prueba de Oposición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17.080.629-8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17.489.207-5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17.733.732-3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18.539.419-0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18.585.944-4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2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1" y="0"/>
              <wp:lineTo x="-51" y="21105"/>
              <wp:lineTo x="20939" y="21105"/>
              <wp:lineTo x="20939" y="0"/>
              <wp:lineTo x="-51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LibreOffice/7.1.4.2$Windows_X86_64 LibreOffice_project/a529a4fab45b75fefc5b6226684193eb000654f6</Application>
  <AppVersion>15.0000</AppVersion>
  <Pages>1</Pages>
  <Words>66</Words>
  <Characters>385</Characters>
  <CharactersWithSpaces>887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2021-09-13T13:08:29Z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